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2703" w14:textId="2A4F68AA" w:rsidR="00BF3342" w:rsidRPr="00597F80" w:rsidRDefault="00BF3342" w:rsidP="00BF3342">
      <w:pPr>
        <w:jc w:val="center"/>
        <w:rPr>
          <w:rFonts w:asciiTheme="majorBidi" w:eastAsia="Times New Roman" w:hAnsiTheme="majorBidi" w:cstheme="majorBidi"/>
          <w:b/>
          <w:sz w:val="32"/>
          <w:szCs w:val="32"/>
        </w:rPr>
      </w:pPr>
      <w:bookmarkStart w:id="0" w:name="_Hlk121849571"/>
      <w:r w:rsidRPr="00597F80">
        <w:rPr>
          <w:rFonts w:asciiTheme="majorBidi" w:eastAsia="Times New Roman" w:hAnsiTheme="majorBidi" w:cstheme="majorBidi"/>
          <w:b/>
          <w:sz w:val="32"/>
          <w:szCs w:val="32"/>
        </w:rPr>
        <w:t>République de Guinée</w:t>
      </w:r>
    </w:p>
    <w:p w14:paraId="19DA6619" w14:textId="77777777" w:rsidR="00BF3342" w:rsidRPr="00597F80" w:rsidRDefault="00BF3342" w:rsidP="00BF3342">
      <w:pPr>
        <w:jc w:val="center"/>
        <w:rPr>
          <w:rFonts w:asciiTheme="majorBidi" w:eastAsia="Times New Roman" w:hAnsiTheme="majorBidi" w:cstheme="majorBidi"/>
        </w:rPr>
      </w:pPr>
      <w:r w:rsidRPr="00597F80">
        <w:rPr>
          <w:rFonts w:asciiTheme="majorBidi" w:eastAsia="Times New Roman" w:hAnsiTheme="majorBidi" w:cstheme="majorBidi"/>
        </w:rPr>
        <w:t>Travail- Justice- Solidarité</w:t>
      </w:r>
    </w:p>
    <w:p w14:paraId="6A8B95E9" w14:textId="77777777" w:rsidR="00BF3342" w:rsidRDefault="00BF3342" w:rsidP="00BF3342">
      <w:pPr>
        <w:jc w:val="center"/>
        <w:rPr>
          <w:rFonts w:asciiTheme="majorBidi" w:eastAsia="Times New Roman" w:hAnsiTheme="majorBidi" w:cstheme="majorBidi"/>
          <w:sz w:val="28"/>
        </w:rPr>
      </w:pPr>
      <w:r w:rsidRPr="00597F80">
        <w:rPr>
          <w:rFonts w:asciiTheme="majorBidi" w:hAnsiTheme="majorBidi" w:cstheme="majorBidi"/>
          <w:noProof/>
        </w:rPr>
        <w:drawing>
          <wp:anchor distT="0" distB="0" distL="114300" distR="114300" simplePos="0" relativeHeight="251659264" behindDoc="1" locked="0" layoutInCell="1" allowOverlap="1" wp14:anchorId="1E921C20" wp14:editId="5CEB14EA">
            <wp:simplePos x="0" y="0"/>
            <wp:positionH relativeFrom="column">
              <wp:posOffset>2225040</wp:posOffset>
            </wp:positionH>
            <wp:positionV relativeFrom="paragraph">
              <wp:posOffset>270338</wp:posOffset>
            </wp:positionV>
            <wp:extent cx="1307465" cy="1205865"/>
            <wp:effectExtent l="0" t="0" r="6985" b="0"/>
            <wp:wrapTopAndBottom/>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07465" cy="1205865"/>
                    </a:xfrm>
                    <a:prstGeom prst="rect">
                      <a:avLst/>
                    </a:prstGeom>
                  </pic:spPr>
                </pic:pic>
              </a:graphicData>
            </a:graphic>
          </wp:anchor>
        </w:drawing>
      </w:r>
      <w:r w:rsidRPr="00597F80">
        <w:rPr>
          <w:rFonts w:asciiTheme="majorBidi" w:eastAsia="Times New Roman" w:hAnsiTheme="majorBidi" w:cstheme="majorBidi"/>
          <w:sz w:val="28"/>
        </w:rPr>
        <w:tab/>
      </w:r>
    </w:p>
    <w:p w14:paraId="0802FAC4" w14:textId="77777777" w:rsidR="00BF3342" w:rsidRDefault="00BF3342" w:rsidP="00BF3342">
      <w:pPr>
        <w:jc w:val="center"/>
        <w:rPr>
          <w:rFonts w:asciiTheme="majorBidi" w:eastAsia="Times New Roman" w:hAnsiTheme="majorBidi" w:cstheme="majorBidi"/>
          <w:sz w:val="28"/>
        </w:rPr>
      </w:pPr>
    </w:p>
    <w:p w14:paraId="755AF2FD" w14:textId="77777777" w:rsidR="00BF3342" w:rsidRDefault="00BF3342" w:rsidP="00BF3342">
      <w:pPr>
        <w:jc w:val="center"/>
        <w:rPr>
          <w:rFonts w:asciiTheme="majorBidi" w:eastAsia="Times New Roman" w:hAnsiTheme="majorBidi" w:cstheme="majorBidi"/>
          <w:sz w:val="28"/>
        </w:rPr>
      </w:pPr>
    </w:p>
    <w:p w14:paraId="3D28C02F" w14:textId="77777777" w:rsidR="00BF3342" w:rsidRPr="00597F80" w:rsidRDefault="00BF3342" w:rsidP="00BF3342">
      <w:pPr>
        <w:jc w:val="center"/>
        <w:rPr>
          <w:rFonts w:asciiTheme="majorBidi" w:eastAsia="Times New Roman" w:hAnsiTheme="majorBidi" w:cstheme="majorBidi"/>
          <w:sz w:val="12"/>
          <w:szCs w:val="12"/>
        </w:rPr>
      </w:pPr>
    </w:p>
    <w:p w14:paraId="5F6190AE" w14:textId="77777777" w:rsidR="00BF3342" w:rsidRPr="00597F80" w:rsidRDefault="00BF3342" w:rsidP="00BF3342">
      <w:pPr>
        <w:rPr>
          <w:rFonts w:asciiTheme="majorBidi" w:eastAsia="Times New Roman" w:hAnsiTheme="majorBidi" w:cstheme="majorBidi"/>
          <w:b/>
          <w:sz w:val="28"/>
        </w:rPr>
      </w:pPr>
    </w:p>
    <w:p w14:paraId="3CF85999" w14:textId="77777777" w:rsidR="00BF3342" w:rsidRPr="00597F80" w:rsidRDefault="00BF3342" w:rsidP="00BF3342">
      <w:pPr>
        <w:rPr>
          <w:rFonts w:asciiTheme="majorBidi" w:eastAsia="Times New Roman" w:hAnsiTheme="majorBidi" w:cstheme="majorBidi"/>
          <w:b/>
          <w:sz w:val="44"/>
        </w:rPr>
      </w:pPr>
      <w:r w:rsidRPr="00597F80">
        <w:rPr>
          <w:rFonts w:asciiTheme="majorBidi" w:eastAsia="Times New Roman" w:hAnsiTheme="majorBidi" w:cstheme="majorBidi"/>
          <w:b/>
          <w:sz w:val="28"/>
        </w:rPr>
        <w:t xml:space="preserve"> </w:t>
      </w:r>
      <w:r w:rsidRPr="00597F80">
        <w:rPr>
          <w:rFonts w:asciiTheme="majorBidi" w:eastAsia="Times New Roman" w:hAnsiTheme="majorBidi" w:cstheme="majorBidi"/>
          <w:b/>
          <w:sz w:val="44"/>
        </w:rPr>
        <w:t xml:space="preserve">CONSEIL NATIONAL DE LA TRANSITION </w:t>
      </w:r>
    </w:p>
    <w:bookmarkEnd w:id="0"/>
    <w:p w14:paraId="050EE8E7" w14:textId="77777777" w:rsidR="00BF3342" w:rsidRDefault="00BF3342" w:rsidP="0061303D">
      <w:pPr>
        <w:jc w:val="center"/>
        <w:rPr>
          <w:rFonts w:ascii="Bodoni MT Black" w:hAnsi="Bodoni MT Black" w:cs="Times New Roman"/>
          <w:b/>
          <w:bCs/>
          <w:i/>
          <w:iCs/>
          <w:color w:val="000000"/>
          <w:sz w:val="54"/>
          <w:szCs w:val="54"/>
        </w:rPr>
      </w:pPr>
    </w:p>
    <w:p w14:paraId="667F32C8" w14:textId="32F98AD2" w:rsidR="0061303D" w:rsidRPr="0061303D" w:rsidRDefault="0061303D" w:rsidP="0061303D">
      <w:pPr>
        <w:jc w:val="center"/>
        <w:rPr>
          <w:rFonts w:ascii="-webkit-standard" w:hAnsi="-webkit-standard" w:cs="Times New Roman"/>
          <w:color w:val="000000"/>
          <w:sz w:val="27"/>
          <w:szCs w:val="27"/>
        </w:rPr>
      </w:pPr>
      <w:r w:rsidRPr="0061303D">
        <w:rPr>
          <w:rFonts w:ascii="Bodoni MT Black" w:hAnsi="Bodoni MT Black" w:cs="Times New Roman"/>
          <w:b/>
          <w:bCs/>
          <w:i/>
          <w:iCs/>
          <w:color w:val="000000"/>
          <w:sz w:val="54"/>
          <w:szCs w:val="54"/>
        </w:rPr>
        <w:t>N° 0</w:t>
      </w:r>
      <w:r w:rsidR="00F91C48">
        <w:rPr>
          <w:rFonts w:ascii="Bodoni MT Black" w:hAnsi="Bodoni MT Black" w:cs="Times New Roman"/>
          <w:b/>
          <w:bCs/>
          <w:i/>
          <w:iCs/>
          <w:color w:val="000000"/>
          <w:sz w:val="54"/>
          <w:szCs w:val="54"/>
        </w:rPr>
        <w:t>51</w:t>
      </w:r>
    </w:p>
    <w:p w14:paraId="38CC0C4E" w14:textId="77777777" w:rsidR="0061303D" w:rsidRPr="0061303D" w:rsidRDefault="0061303D" w:rsidP="0061303D">
      <w:pPr>
        <w:jc w:val="center"/>
        <w:rPr>
          <w:rFonts w:ascii="-webkit-standard" w:hAnsi="-webkit-standard" w:cs="Times New Roman"/>
          <w:color w:val="000000"/>
          <w:sz w:val="27"/>
          <w:szCs w:val="27"/>
        </w:rPr>
      </w:pPr>
      <w:r w:rsidRPr="0061303D">
        <w:rPr>
          <w:rFonts w:ascii="-webkit-standard" w:hAnsi="-webkit-standard" w:cs="Times New Roman"/>
          <w:color w:val="000000"/>
          <w:sz w:val="27"/>
          <w:szCs w:val="27"/>
        </w:rPr>
        <w:t> </w:t>
      </w:r>
    </w:p>
    <w:p w14:paraId="0700EA86" w14:textId="28099965" w:rsidR="0061303D" w:rsidRDefault="0061303D" w:rsidP="0061303D">
      <w:pPr>
        <w:ind w:right="-420"/>
        <w:rPr>
          <w:rFonts w:ascii="-webkit-standard" w:hAnsi="-webkit-standard" w:cs="Times New Roman"/>
          <w:color w:val="000000"/>
          <w:sz w:val="27"/>
          <w:szCs w:val="27"/>
        </w:rPr>
      </w:pPr>
      <w:r w:rsidRPr="0061303D">
        <w:rPr>
          <w:rFonts w:ascii="-webkit-standard" w:hAnsi="-webkit-standard" w:cs="Times New Roman"/>
          <w:color w:val="000000"/>
          <w:sz w:val="27"/>
          <w:szCs w:val="27"/>
        </w:rPr>
        <w:t> </w:t>
      </w:r>
    </w:p>
    <w:p w14:paraId="37F7B095" w14:textId="77777777" w:rsidR="00BF3342" w:rsidRDefault="00BF3342" w:rsidP="00BF3342">
      <w:pPr>
        <w:ind w:right="-567"/>
        <w:rPr>
          <w:rFonts w:asciiTheme="majorBidi" w:hAnsiTheme="majorBidi" w:cstheme="majorBidi"/>
          <w:sz w:val="28"/>
          <w:szCs w:val="28"/>
        </w:rPr>
      </w:pPr>
    </w:p>
    <w:p w14:paraId="343E265C" w14:textId="739E5870" w:rsidR="00BF3342" w:rsidRPr="00506B26" w:rsidRDefault="00BF3342" w:rsidP="00BF3342">
      <w:pPr>
        <w:ind w:right="-567"/>
        <w:rPr>
          <w:rFonts w:asciiTheme="majorBidi" w:hAnsiTheme="majorBidi" w:cstheme="majorBidi"/>
          <w:sz w:val="28"/>
          <w:szCs w:val="28"/>
        </w:rPr>
      </w:pPr>
      <w:r w:rsidRPr="00597F80">
        <w:rPr>
          <w:rFonts w:asciiTheme="majorBidi" w:hAnsiTheme="majorBidi" w:cstheme="majorBidi"/>
          <w:noProof/>
          <w:szCs w:val="28"/>
        </w:rPr>
        <mc:AlternateContent>
          <mc:Choice Requires="wps">
            <w:drawing>
              <wp:anchor distT="182880" distB="182245" distL="91440" distR="91440" simplePos="0" relativeHeight="251661312" behindDoc="0" locked="0" layoutInCell="0" allowOverlap="1" wp14:anchorId="4F527648" wp14:editId="29908059">
                <wp:simplePos x="0" y="0"/>
                <wp:positionH relativeFrom="column">
                  <wp:posOffset>271145</wp:posOffset>
                </wp:positionH>
                <wp:positionV relativeFrom="paragraph">
                  <wp:posOffset>465455</wp:posOffset>
                </wp:positionV>
                <wp:extent cx="5610225" cy="698500"/>
                <wp:effectExtent l="0" t="0" r="9525" b="6350"/>
                <wp:wrapTight wrapText="bothSides">
                  <wp:wrapPolygon edited="0">
                    <wp:start x="0" y="0"/>
                    <wp:lineTo x="0" y="21207"/>
                    <wp:lineTo x="21563" y="21207"/>
                    <wp:lineTo x="21563" y="0"/>
                    <wp:lineTo x="0" y="0"/>
                  </wp:wrapPolygon>
                </wp:wrapTight>
                <wp:docPr id="3" name="Zone de texte 60"/>
                <wp:cNvGraphicFramePr/>
                <a:graphic xmlns:a="http://schemas.openxmlformats.org/drawingml/2006/main">
                  <a:graphicData uri="http://schemas.microsoft.com/office/word/2010/wordprocessingShape">
                    <wps:wsp>
                      <wps:cNvSpPr/>
                      <wps:spPr>
                        <a:xfrm>
                          <a:off x="0" y="0"/>
                          <a:ext cx="5610225" cy="698500"/>
                        </a:xfrm>
                        <a:prstGeom prst="rect">
                          <a:avLst/>
                        </a:prstGeom>
                        <a:solidFill>
                          <a:srgbClr val="4F81BD"/>
                        </a:solidFill>
                        <a:ln w="6350">
                          <a:noFill/>
                        </a:ln>
                      </wps:spPr>
                      <wps:style>
                        <a:lnRef idx="0">
                          <a:scrgbClr r="0" g="0" b="0"/>
                        </a:lnRef>
                        <a:fillRef idx="0">
                          <a:scrgbClr r="0" g="0" b="0"/>
                        </a:fillRef>
                        <a:effectRef idx="0">
                          <a:scrgbClr r="0" g="0" b="0"/>
                        </a:effectRef>
                        <a:fontRef idx="minor"/>
                      </wps:style>
                      <wps:txbx>
                        <w:txbxContent>
                          <w:p w14:paraId="0ABD46DF" w14:textId="6EF72595" w:rsidR="00FD529B" w:rsidRPr="00AD7A4B" w:rsidRDefault="00FD529B" w:rsidP="00BF3342">
                            <w:pPr>
                              <w:pStyle w:val="Citationintense"/>
                              <w:spacing w:before="0" w:after="0"/>
                              <w:jc w:val="center"/>
                              <w:rPr>
                                <w:color w:val="FFFFFF"/>
                                <w:sz w:val="72"/>
                              </w:rPr>
                            </w:pPr>
                            <w:r w:rsidRPr="00AD7A4B">
                              <w:rPr>
                                <w:color w:val="FFFFFF"/>
                                <w:sz w:val="72"/>
                              </w:rPr>
                              <w:t>SESSION 202</w:t>
                            </w:r>
                            <w:r>
                              <w:rPr>
                                <w:color w:val="FFFFFF"/>
                                <w:sz w:val="72"/>
                              </w:rPr>
                              <w:t>3</w:t>
                            </w:r>
                          </w:p>
                        </w:txbxContent>
                      </wps:txbx>
                      <wps:bodyPr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F527648" id="Zone de texte 60" o:spid="_x0000_s1026" style="position:absolute;margin-left:21.35pt;margin-top:36.65pt;width:441.75pt;height:55pt;z-index:251661312;visibility:visible;mso-wrap-style:square;mso-width-percent:0;mso-height-percent:0;mso-wrap-distance-left:7.2pt;mso-wrap-distance-top:14.4pt;mso-wrap-distance-right:7.2pt;mso-wrap-distance-bottom:14.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" o:allowincell="f" fillcolor="#4f81bd" stroked="f" strokeweight=".5pt">
                <v:textbox inset="0,0,0,0">
                  <w:txbxContent>
                    <w:p w14:paraId="0ABD46DF" w14:textId="6EF72595" w:rsidR="00FD529B" w:rsidRPr="00AD7A4B" w:rsidRDefault="00FD529B" w:rsidP="00BF3342">
                      <w:pPr>
                        <w:pStyle w:val="Citationintense"/>
                        <w:spacing w:before="0" w:after="0"/>
                        <w:jc w:val="center"/>
                        <w:rPr>
                          <w:color w:val="FFFFFF"/>
                          <w:sz w:val="72"/>
                        </w:rPr>
                      </w:pPr>
                      <w:r w:rsidRPr="00AD7A4B">
                        <w:rPr>
                          <w:color w:val="FFFFFF"/>
                          <w:sz w:val="72"/>
                        </w:rPr>
                        <w:t>SESSION 202</w:t>
                      </w:r>
                      <w:r>
                        <w:rPr>
                          <w:color w:val="FFFFFF"/>
                          <w:sz w:val="72"/>
                        </w:rPr>
                        <w:t>3</w:t>
                      </w:r>
                    </w:p>
                  </w:txbxContent>
                </v:textbox>
                <w10:wrap type="tight"/>
              </v:rect>
            </w:pict>
          </mc:Fallback>
        </mc:AlternateContent>
      </w:r>
      <w:r w:rsidRPr="00C85B62">
        <w:rPr>
          <w:rFonts w:asciiTheme="majorBidi" w:hAnsiTheme="majorBidi" w:cstheme="majorBidi"/>
          <w:sz w:val="28"/>
          <w:szCs w:val="28"/>
        </w:rPr>
        <w:t xml:space="preserve">Enregistré au Secrétariat Central du CNT sous le numéro </w:t>
      </w:r>
      <w:r w:rsidR="00F91C48" w:rsidRPr="00F91C48">
        <w:rPr>
          <w:rFonts w:asciiTheme="majorBidi" w:hAnsiTheme="majorBidi" w:cstheme="majorBidi"/>
          <w:sz w:val="28"/>
          <w:szCs w:val="28"/>
        </w:rPr>
        <w:t>1787</w:t>
      </w:r>
      <w:r w:rsidR="00F91C48">
        <w:rPr>
          <w:rFonts w:asciiTheme="majorBidi" w:hAnsiTheme="majorBidi" w:cstheme="majorBidi"/>
          <w:sz w:val="28"/>
          <w:szCs w:val="28"/>
        </w:rPr>
        <w:t xml:space="preserve">, </w:t>
      </w:r>
      <w:r w:rsidR="00F91C48" w:rsidRPr="00F91C48">
        <w:rPr>
          <w:rFonts w:asciiTheme="majorBidi" w:hAnsiTheme="majorBidi" w:cstheme="majorBidi"/>
          <w:sz w:val="28"/>
          <w:szCs w:val="28"/>
        </w:rPr>
        <w:t>le 15 décembre 2023.</w:t>
      </w:r>
    </w:p>
    <w:p w14:paraId="493D1FD6" w14:textId="7A46EE3D" w:rsidR="0061303D" w:rsidRPr="0061303D" w:rsidRDefault="00234E40" w:rsidP="0061303D">
      <w:pPr>
        <w:jc w:val="center"/>
        <w:rPr>
          <w:rFonts w:ascii="-webkit-standard" w:hAnsi="-webkit-standard" w:cs="Times New Roman"/>
          <w:color w:val="000000"/>
          <w:sz w:val="27"/>
          <w:szCs w:val="27"/>
        </w:rPr>
      </w:pPr>
      <w:r w:rsidRPr="00597F80">
        <w:rPr>
          <w:rFonts w:asciiTheme="majorBidi" w:hAnsiTheme="majorBidi" w:cstheme="majorBidi"/>
          <w:b/>
          <w:sz w:val="44"/>
          <w:szCs w:val="28"/>
        </w:rPr>
        <w:t>RAPPORT</w:t>
      </w:r>
      <w:r w:rsidR="0061303D" w:rsidRPr="0061303D">
        <w:rPr>
          <w:rFonts w:ascii="-webkit-standard" w:hAnsi="-webkit-standard" w:cs="Times New Roman"/>
          <w:color w:val="000000"/>
          <w:sz w:val="27"/>
          <w:szCs w:val="27"/>
        </w:rPr>
        <w:t> </w:t>
      </w:r>
    </w:p>
    <w:p w14:paraId="48FB413D" w14:textId="77777777" w:rsidR="0061303D" w:rsidRPr="0061303D" w:rsidRDefault="0061303D" w:rsidP="0061303D">
      <w:pPr>
        <w:jc w:val="center"/>
        <w:rPr>
          <w:rFonts w:ascii="-webkit-standard" w:hAnsi="-webkit-standard" w:cs="Times New Roman"/>
          <w:color w:val="000000"/>
          <w:sz w:val="27"/>
          <w:szCs w:val="27"/>
        </w:rPr>
      </w:pPr>
      <w:r w:rsidRPr="0061303D">
        <w:rPr>
          <w:rFonts w:ascii="-webkit-standard" w:hAnsi="-webkit-standard" w:cs="Times New Roman"/>
          <w:color w:val="000000"/>
          <w:sz w:val="27"/>
          <w:szCs w:val="27"/>
        </w:rPr>
        <w:t> </w:t>
      </w:r>
    </w:p>
    <w:p w14:paraId="6A029B99" w14:textId="77777777" w:rsidR="0061303D" w:rsidRPr="0061303D" w:rsidRDefault="0061303D" w:rsidP="0061303D">
      <w:pPr>
        <w:jc w:val="center"/>
        <w:rPr>
          <w:rFonts w:ascii="-webkit-standard" w:hAnsi="-webkit-standard" w:cs="Times New Roman"/>
          <w:color w:val="000000"/>
          <w:sz w:val="27"/>
          <w:szCs w:val="27"/>
        </w:rPr>
      </w:pPr>
      <w:r w:rsidRPr="0061303D">
        <w:rPr>
          <w:rFonts w:ascii="Calibri Light" w:hAnsi="Calibri Light" w:cs="Times New Roman"/>
          <w:b/>
          <w:bCs/>
          <w:color w:val="000000"/>
          <w:sz w:val="32"/>
          <w:szCs w:val="32"/>
        </w:rPr>
        <w:t>Fait</w:t>
      </w:r>
    </w:p>
    <w:p w14:paraId="01181FA4" w14:textId="77777777" w:rsidR="0061303D" w:rsidRPr="0061303D" w:rsidRDefault="0061303D" w:rsidP="0061303D">
      <w:pPr>
        <w:jc w:val="center"/>
        <w:rPr>
          <w:rFonts w:ascii="-webkit-standard" w:hAnsi="-webkit-standard" w:cs="Times New Roman"/>
          <w:color w:val="000000"/>
          <w:sz w:val="27"/>
          <w:szCs w:val="27"/>
        </w:rPr>
      </w:pPr>
      <w:r w:rsidRPr="0061303D">
        <w:rPr>
          <w:rFonts w:ascii="-webkit-standard" w:hAnsi="-webkit-standard" w:cs="Times New Roman"/>
          <w:color w:val="000000"/>
          <w:sz w:val="27"/>
          <w:szCs w:val="27"/>
        </w:rPr>
        <w:t> </w:t>
      </w:r>
    </w:p>
    <w:p w14:paraId="15828F01" w14:textId="187CCE84" w:rsidR="0061303D" w:rsidRPr="00326A6C" w:rsidRDefault="0061303D" w:rsidP="0061303D">
      <w:pPr>
        <w:jc w:val="both"/>
        <w:rPr>
          <w:rFonts w:ascii="Times New Roman" w:hAnsi="Times New Roman" w:cs="Times New Roman"/>
          <w:color w:val="000000"/>
          <w:sz w:val="27"/>
          <w:szCs w:val="27"/>
        </w:rPr>
      </w:pPr>
      <w:r w:rsidRPr="00326A6C">
        <w:rPr>
          <w:rFonts w:ascii="Times New Roman" w:hAnsi="Times New Roman" w:cs="Times New Roman"/>
          <w:b/>
          <w:bCs/>
          <w:color w:val="000000"/>
          <w:sz w:val="32"/>
          <w:szCs w:val="32"/>
        </w:rPr>
        <w:t>Par </w:t>
      </w:r>
      <w:bookmarkStart w:id="1" w:name="_Hlk121849604"/>
      <w:bookmarkEnd w:id="1"/>
      <w:r w:rsidRPr="00326A6C">
        <w:rPr>
          <w:rFonts w:ascii="Times New Roman" w:hAnsi="Times New Roman" w:cs="Times New Roman"/>
          <w:b/>
          <w:bCs/>
          <w:color w:val="000000"/>
          <w:sz w:val="32"/>
          <w:szCs w:val="32"/>
        </w:rPr>
        <w:t xml:space="preserve">la </w:t>
      </w:r>
      <w:r w:rsidR="00C57299" w:rsidRPr="00326A6C">
        <w:rPr>
          <w:rFonts w:ascii="Times New Roman" w:hAnsi="Times New Roman" w:cs="Times New Roman"/>
          <w:b/>
          <w:bCs/>
          <w:color w:val="000000"/>
          <w:sz w:val="32"/>
          <w:szCs w:val="32"/>
        </w:rPr>
        <w:t>‘’</w:t>
      </w:r>
      <w:r w:rsidRPr="00326A6C">
        <w:rPr>
          <w:rFonts w:ascii="Times New Roman" w:hAnsi="Times New Roman" w:cs="Times New Roman"/>
          <w:b/>
          <w:bCs/>
          <w:color w:val="000000"/>
          <w:sz w:val="32"/>
          <w:szCs w:val="32"/>
        </w:rPr>
        <w:t>Commission du Plan, des Affaires Financières et du Contrôle Budgétaire</w:t>
      </w:r>
      <w:r w:rsidR="00C57299" w:rsidRPr="00326A6C">
        <w:rPr>
          <w:rFonts w:ascii="Times New Roman" w:hAnsi="Times New Roman" w:cs="Times New Roman"/>
          <w:b/>
          <w:bCs/>
          <w:color w:val="000000"/>
          <w:sz w:val="32"/>
          <w:szCs w:val="32"/>
        </w:rPr>
        <w:t>’’,</w:t>
      </w:r>
      <w:r w:rsidRPr="00326A6C">
        <w:rPr>
          <w:rFonts w:ascii="Times New Roman" w:hAnsi="Times New Roman" w:cs="Times New Roman"/>
          <w:b/>
          <w:bCs/>
          <w:color w:val="000000"/>
          <w:sz w:val="32"/>
          <w:szCs w:val="32"/>
        </w:rPr>
        <w:t> portant sur le volet </w:t>
      </w:r>
      <w:r w:rsidR="00F91C48">
        <w:rPr>
          <w:rFonts w:ascii="Times New Roman" w:hAnsi="Times New Roman" w:cs="Times New Roman"/>
          <w:b/>
          <w:bCs/>
          <w:color w:val="000000"/>
          <w:sz w:val="32"/>
          <w:szCs w:val="32"/>
        </w:rPr>
        <w:t>d</w:t>
      </w:r>
      <w:r w:rsidRPr="00326A6C">
        <w:rPr>
          <w:rFonts w:ascii="Times New Roman" w:hAnsi="Times New Roman" w:cs="Times New Roman"/>
          <w:b/>
          <w:bCs/>
          <w:color w:val="000000"/>
          <w:sz w:val="32"/>
          <w:szCs w:val="32"/>
        </w:rPr>
        <w:t>épenses du Projet de la Loi de Finances Initiale 202</w:t>
      </w:r>
      <w:r w:rsidR="00506B26" w:rsidRPr="00326A6C">
        <w:rPr>
          <w:rFonts w:ascii="Times New Roman" w:hAnsi="Times New Roman" w:cs="Times New Roman"/>
          <w:b/>
          <w:bCs/>
          <w:color w:val="000000"/>
          <w:sz w:val="32"/>
          <w:szCs w:val="32"/>
        </w:rPr>
        <w:t>4</w:t>
      </w:r>
      <w:r w:rsidRPr="00326A6C">
        <w:rPr>
          <w:rFonts w:ascii="Times New Roman" w:hAnsi="Times New Roman" w:cs="Times New Roman"/>
          <w:b/>
          <w:bCs/>
          <w:color w:val="000000"/>
          <w:sz w:val="32"/>
          <w:szCs w:val="32"/>
        </w:rPr>
        <w:t>.</w:t>
      </w:r>
    </w:p>
    <w:p w14:paraId="0A84C772" w14:textId="1A01D469" w:rsidR="0061303D" w:rsidRPr="00326A6C" w:rsidRDefault="0061303D" w:rsidP="00234E40">
      <w:pPr>
        <w:rPr>
          <w:rFonts w:ascii="Times New Roman" w:hAnsi="Times New Roman" w:cs="Times New Roman"/>
          <w:color w:val="000000"/>
          <w:sz w:val="27"/>
          <w:szCs w:val="27"/>
        </w:rPr>
      </w:pPr>
      <w:r w:rsidRPr="00326A6C">
        <w:rPr>
          <w:rFonts w:ascii="Times New Roman" w:hAnsi="Times New Roman" w:cs="Times New Roman"/>
          <w:color w:val="000000"/>
          <w:sz w:val="27"/>
          <w:szCs w:val="27"/>
        </w:rPr>
        <w:t> </w:t>
      </w:r>
    </w:p>
    <w:p w14:paraId="22E41AA3" w14:textId="77777777" w:rsidR="0061303D" w:rsidRPr="00326A6C" w:rsidRDefault="0061303D" w:rsidP="0061303D">
      <w:pPr>
        <w:jc w:val="center"/>
        <w:rPr>
          <w:rFonts w:ascii="Times New Roman" w:hAnsi="Times New Roman" w:cs="Times New Roman"/>
          <w:color w:val="000000"/>
          <w:sz w:val="27"/>
          <w:szCs w:val="27"/>
        </w:rPr>
      </w:pPr>
      <w:r w:rsidRPr="00326A6C">
        <w:rPr>
          <w:rFonts w:ascii="Times New Roman" w:hAnsi="Times New Roman" w:cs="Times New Roman"/>
          <w:color w:val="000000"/>
          <w:sz w:val="27"/>
          <w:szCs w:val="27"/>
        </w:rPr>
        <w:t> </w:t>
      </w:r>
    </w:p>
    <w:p w14:paraId="1F8CF96D" w14:textId="77777777" w:rsidR="00234E40" w:rsidRPr="00326A6C" w:rsidRDefault="00234E40" w:rsidP="00234E40">
      <w:pPr>
        <w:jc w:val="center"/>
        <w:rPr>
          <w:rFonts w:ascii="Times New Roman" w:hAnsi="Times New Roman" w:cs="Times New Roman"/>
          <w:color w:val="000000"/>
          <w:sz w:val="32"/>
          <w:szCs w:val="32"/>
        </w:rPr>
      </w:pPr>
    </w:p>
    <w:p w14:paraId="71EBF14D" w14:textId="533E7EA2" w:rsidR="0061303D" w:rsidRPr="00326A6C" w:rsidRDefault="0061303D" w:rsidP="00234E40">
      <w:pPr>
        <w:jc w:val="center"/>
        <w:rPr>
          <w:rFonts w:ascii="Times New Roman" w:hAnsi="Times New Roman" w:cs="Times New Roman"/>
          <w:color w:val="000000"/>
          <w:sz w:val="27"/>
          <w:szCs w:val="27"/>
        </w:rPr>
      </w:pPr>
      <w:r w:rsidRPr="00326A6C">
        <w:rPr>
          <w:rFonts w:ascii="Times New Roman" w:hAnsi="Times New Roman" w:cs="Times New Roman"/>
          <w:color w:val="000000"/>
          <w:sz w:val="32"/>
          <w:szCs w:val="32"/>
        </w:rPr>
        <w:t>Présenté par la Rapporteure Générale, Honorable Fatima CAMARA</w:t>
      </w:r>
    </w:p>
    <w:p w14:paraId="0394FF0D" w14:textId="77777777" w:rsidR="0061303D" w:rsidRPr="00326A6C" w:rsidRDefault="0061303D" w:rsidP="0061303D">
      <w:pPr>
        <w:ind w:left="4770"/>
        <w:rPr>
          <w:rFonts w:ascii="Times New Roman" w:hAnsi="Times New Roman" w:cs="Times New Roman"/>
          <w:color w:val="000000"/>
          <w:sz w:val="27"/>
          <w:szCs w:val="27"/>
        </w:rPr>
      </w:pPr>
      <w:r w:rsidRPr="00326A6C">
        <w:rPr>
          <w:rFonts w:ascii="Times New Roman" w:hAnsi="Times New Roman" w:cs="Times New Roman"/>
          <w:color w:val="000000"/>
          <w:sz w:val="27"/>
          <w:szCs w:val="27"/>
        </w:rPr>
        <w:lastRenderedPageBreak/>
        <w:t> </w:t>
      </w:r>
    </w:p>
    <w:p w14:paraId="2F04A749" w14:textId="0910C21E" w:rsidR="0061303D" w:rsidRPr="00326A6C" w:rsidRDefault="0061303D" w:rsidP="00234E40">
      <w:pPr>
        <w:ind w:left="4770"/>
        <w:rPr>
          <w:rFonts w:ascii="Times New Roman" w:hAnsi="Times New Roman" w:cs="Times New Roman"/>
          <w:color w:val="000000"/>
          <w:sz w:val="27"/>
          <w:szCs w:val="27"/>
        </w:rPr>
      </w:pPr>
      <w:r w:rsidRPr="00326A6C">
        <w:rPr>
          <w:rFonts w:ascii="Times New Roman" w:hAnsi="Times New Roman" w:cs="Times New Roman"/>
          <w:color w:val="000000"/>
          <w:sz w:val="27"/>
          <w:szCs w:val="27"/>
        </w:rPr>
        <w:t> </w:t>
      </w:r>
      <w:r w:rsidR="00234E40" w:rsidRPr="00326A6C">
        <w:rPr>
          <w:rFonts w:ascii="Times New Roman" w:hAnsi="Times New Roman" w:cs="Times New Roman"/>
          <w:color w:val="000000"/>
          <w:sz w:val="27"/>
          <w:szCs w:val="27"/>
        </w:rPr>
        <w:tab/>
      </w:r>
      <w:r w:rsidR="00234E40" w:rsidRPr="00326A6C">
        <w:rPr>
          <w:rFonts w:ascii="Times New Roman" w:hAnsi="Times New Roman" w:cs="Times New Roman"/>
          <w:color w:val="000000"/>
          <w:sz w:val="27"/>
          <w:szCs w:val="27"/>
        </w:rPr>
        <w:tab/>
      </w:r>
      <w:r w:rsidR="00234E40" w:rsidRPr="00326A6C">
        <w:rPr>
          <w:rFonts w:ascii="Times New Roman" w:hAnsi="Times New Roman" w:cs="Times New Roman"/>
          <w:color w:val="000000"/>
          <w:sz w:val="27"/>
          <w:szCs w:val="27"/>
        </w:rPr>
        <w:tab/>
      </w:r>
      <w:r w:rsidRPr="00326A6C">
        <w:rPr>
          <w:rFonts w:ascii="Times New Roman" w:hAnsi="Times New Roman" w:cs="Times New Roman"/>
          <w:b/>
          <w:bCs/>
          <w:color w:val="000000"/>
          <w:sz w:val="32"/>
          <w:szCs w:val="32"/>
        </w:rPr>
        <w:t>Décembre 202</w:t>
      </w:r>
      <w:r w:rsidR="00506B26" w:rsidRPr="00326A6C">
        <w:rPr>
          <w:rFonts w:ascii="Times New Roman" w:hAnsi="Times New Roman" w:cs="Times New Roman"/>
          <w:b/>
          <w:bCs/>
          <w:color w:val="000000"/>
          <w:sz w:val="32"/>
          <w:szCs w:val="32"/>
        </w:rPr>
        <w:t>3</w:t>
      </w:r>
    </w:p>
    <w:p w14:paraId="60926014" w14:textId="77777777" w:rsidR="0061303D" w:rsidRPr="006333CC" w:rsidRDefault="0061303D" w:rsidP="006333CC">
      <w:pPr>
        <w:spacing w:line="360" w:lineRule="auto"/>
        <w:jc w:val="both"/>
        <w:rPr>
          <w:rFonts w:ascii="Times New Roman" w:hAnsi="Times New Roman" w:cs="Times New Roman"/>
          <w:color w:val="000000"/>
          <w:sz w:val="28"/>
          <w:szCs w:val="28"/>
        </w:rPr>
      </w:pPr>
      <w:r w:rsidRPr="006333CC">
        <w:rPr>
          <w:rFonts w:ascii="Times New Roman" w:hAnsi="Times New Roman" w:cs="Times New Roman"/>
          <w:b/>
          <w:bCs/>
          <w:color w:val="000000"/>
          <w:sz w:val="28"/>
          <w:szCs w:val="28"/>
        </w:rPr>
        <w:t>Honorable Président du Conseil National de la Transition,</w:t>
      </w:r>
    </w:p>
    <w:p w14:paraId="6A7CC0D2" w14:textId="77777777" w:rsidR="0061303D" w:rsidRPr="006333CC" w:rsidRDefault="0061303D" w:rsidP="006333CC">
      <w:pPr>
        <w:spacing w:line="360" w:lineRule="auto"/>
        <w:jc w:val="both"/>
        <w:rPr>
          <w:rFonts w:ascii="Times New Roman" w:hAnsi="Times New Roman" w:cs="Times New Roman"/>
          <w:color w:val="000000"/>
          <w:sz w:val="28"/>
          <w:szCs w:val="28"/>
        </w:rPr>
      </w:pPr>
      <w:r w:rsidRPr="006333CC">
        <w:rPr>
          <w:rFonts w:ascii="Times New Roman" w:hAnsi="Times New Roman" w:cs="Times New Roman"/>
          <w:b/>
          <w:bCs/>
          <w:color w:val="000000"/>
          <w:sz w:val="28"/>
          <w:szCs w:val="28"/>
        </w:rPr>
        <w:t>Honorables Conseillers Nationaux,</w:t>
      </w:r>
    </w:p>
    <w:p w14:paraId="4EFE2529" w14:textId="77777777" w:rsidR="0061303D" w:rsidRPr="006333CC" w:rsidRDefault="0061303D" w:rsidP="006333CC">
      <w:pPr>
        <w:spacing w:line="360" w:lineRule="auto"/>
        <w:jc w:val="both"/>
        <w:rPr>
          <w:rFonts w:ascii="Times New Roman" w:hAnsi="Times New Roman" w:cs="Times New Roman"/>
          <w:color w:val="000000"/>
          <w:sz w:val="28"/>
          <w:szCs w:val="28"/>
        </w:rPr>
      </w:pPr>
      <w:r w:rsidRPr="006333CC">
        <w:rPr>
          <w:rFonts w:ascii="Times New Roman" w:hAnsi="Times New Roman" w:cs="Times New Roman"/>
          <w:b/>
          <w:bCs/>
          <w:color w:val="000000"/>
          <w:sz w:val="28"/>
          <w:szCs w:val="28"/>
        </w:rPr>
        <w:t>Mesdames et Messieurs les Ministres,</w:t>
      </w:r>
    </w:p>
    <w:p w14:paraId="06E46CD1" w14:textId="77777777" w:rsidR="0061303D" w:rsidRPr="006333CC" w:rsidRDefault="0061303D" w:rsidP="006333CC">
      <w:pPr>
        <w:spacing w:line="360" w:lineRule="auto"/>
        <w:jc w:val="both"/>
        <w:rPr>
          <w:rFonts w:ascii="Times New Roman" w:hAnsi="Times New Roman" w:cs="Times New Roman"/>
          <w:color w:val="000000"/>
          <w:sz w:val="28"/>
          <w:szCs w:val="28"/>
        </w:rPr>
      </w:pPr>
      <w:r w:rsidRPr="006333CC">
        <w:rPr>
          <w:rFonts w:ascii="Times New Roman" w:hAnsi="Times New Roman" w:cs="Times New Roman"/>
          <w:b/>
          <w:bCs/>
          <w:color w:val="000000"/>
          <w:sz w:val="28"/>
          <w:szCs w:val="28"/>
        </w:rPr>
        <w:t>Mesdames et Messieurs, en vos qualités, rangs, grades, tout protocole observé ;</w:t>
      </w:r>
    </w:p>
    <w:p w14:paraId="79B04056" w14:textId="3EAA7561" w:rsidR="007914B3" w:rsidRPr="006333CC" w:rsidRDefault="0061303D" w:rsidP="0061303D">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 </w:t>
      </w:r>
    </w:p>
    <w:p w14:paraId="36CDF318" w14:textId="4F1F5857" w:rsidR="007914B3" w:rsidRPr="006333CC" w:rsidRDefault="007914B3" w:rsidP="0061303D">
      <w:pPr>
        <w:jc w:val="both"/>
        <w:rPr>
          <w:rFonts w:ascii="Times New Roman" w:hAnsi="Times New Roman" w:cs="Times New Roman"/>
          <w:sz w:val="28"/>
          <w:szCs w:val="28"/>
        </w:rPr>
      </w:pPr>
      <w:r w:rsidRPr="006333CC">
        <w:rPr>
          <w:rFonts w:ascii="Times New Roman" w:hAnsi="Times New Roman" w:cs="Times New Roman"/>
          <w:sz w:val="28"/>
          <w:szCs w:val="28"/>
        </w:rPr>
        <w:t>Programmé en ce jour 31décembre 2023 pour son adoption,</w:t>
      </w:r>
      <w:r w:rsidR="00656427" w:rsidRPr="006333CC">
        <w:rPr>
          <w:rFonts w:ascii="Times New Roman" w:hAnsi="Times New Roman" w:cs="Times New Roman"/>
          <w:sz w:val="28"/>
          <w:szCs w:val="28"/>
        </w:rPr>
        <w:t xml:space="preserve"> et</w:t>
      </w:r>
      <w:r w:rsidRPr="006333CC">
        <w:rPr>
          <w:rFonts w:ascii="Times New Roman" w:hAnsi="Times New Roman" w:cs="Times New Roman"/>
          <w:sz w:val="28"/>
          <w:szCs w:val="28"/>
        </w:rPr>
        <w:t xml:space="preserve"> </w:t>
      </w:r>
      <w:r w:rsidR="00656427" w:rsidRPr="006333CC">
        <w:rPr>
          <w:rFonts w:ascii="Times New Roman" w:hAnsi="Times New Roman" w:cs="Times New Roman"/>
          <w:sz w:val="28"/>
          <w:szCs w:val="28"/>
        </w:rPr>
        <w:t xml:space="preserve">conformément aux dispositions de l’article 58 de la l’ORF, </w:t>
      </w:r>
      <w:r w:rsidRPr="006333CC">
        <w:rPr>
          <w:rFonts w:ascii="Times New Roman" w:hAnsi="Times New Roman" w:cs="Times New Roman"/>
          <w:sz w:val="28"/>
          <w:szCs w:val="28"/>
        </w:rPr>
        <w:t>le Projet de Loi des Finances Initiale 2024</w:t>
      </w:r>
      <w:r w:rsidR="00705D27" w:rsidRPr="006333CC">
        <w:rPr>
          <w:rFonts w:ascii="Times New Roman" w:hAnsi="Times New Roman" w:cs="Times New Roman"/>
          <w:sz w:val="28"/>
          <w:szCs w:val="28"/>
        </w:rPr>
        <w:t>,</w:t>
      </w:r>
      <w:r w:rsidR="005F3807" w:rsidRPr="006333CC">
        <w:rPr>
          <w:rFonts w:ascii="Times New Roman" w:hAnsi="Times New Roman" w:cs="Times New Roman"/>
          <w:sz w:val="28"/>
          <w:szCs w:val="28"/>
        </w:rPr>
        <w:t xml:space="preserve"> </w:t>
      </w:r>
      <w:r w:rsidR="00705D27" w:rsidRPr="006333CC">
        <w:rPr>
          <w:rFonts w:ascii="Times New Roman" w:hAnsi="Times New Roman" w:cs="Times New Roman"/>
          <w:sz w:val="28"/>
          <w:szCs w:val="28"/>
        </w:rPr>
        <w:t>présenté</w:t>
      </w:r>
      <w:r w:rsidR="005F3807" w:rsidRPr="006333CC">
        <w:rPr>
          <w:rFonts w:ascii="Times New Roman" w:hAnsi="Times New Roman" w:cs="Times New Roman"/>
          <w:sz w:val="28"/>
          <w:szCs w:val="28"/>
        </w:rPr>
        <w:t xml:space="preserve"> au CNT le </w:t>
      </w:r>
      <w:r w:rsidR="00705D27" w:rsidRPr="006333CC">
        <w:rPr>
          <w:rFonts w:ascii="Times New Roman" w:hAnsi="Times New Roman" w:cs="Times New Roman"/>
          <w:sz w:val="28"/>
          <w:szCs w:val="28"/>
        </w:rPr>
        <w:t>22</w:t>
      </w:r>
      <w:r w:rsidR="005F3807" w:rsidRPr="006333CC">
        <w:rPr>
          <w:rFonts w:ascii="Times New Roman" w:hAnsi="Times New Roman" w:cs="Times New Roman"/>
          <w:sz w:val="28"/>
          <w:szCs w:val="28"/>
        </w:rPr>
        <w:t xml:space="preserve"> décembre 2023</w:t>
      </w:r>
      <w:r w:rsidR="001573E7" w:rsidRPr="006333CC">
        <w:rPr>
          <w:rFonts w:ascii="Times New Roman" w:hAnsi="Times New Roman" w:cs="Times New Roman"/>
          <w:sz w:val="28"/>
          <w:szCs w:val="28"/>
        </w:rPr>
        <w:t xml:space="preserve"> par le Gouvernement</w:t>
      </w:r>
      <w:r w:rsidR="005F3807" w:rsidRPr="006333CC">
        <w:rPr>
          <w:rFonts w:ascii="Times New Roman" w:hAnsi="Times New Roman" w:cs="Times New Roman"/>
          <w:sz w:val="28"/>
          <w:szCs w:val="28"/>
        </w:rPr>
        <w:t>,</w:t>
      </w:r>
      <w:r w:rsidRPr="006333CC">
        <w:rPr>
          <w:rFonts w:ascii="Times New Roman" w:hAnsi="Times New Roman" w:cs="Times New Roman"/>
          <w:sz w:val="28"/>
          <w:szCs w:val="28"/>
        </w:rPr>
        <w:t xml:space="preserve"> a fait l’objet d’un examen </w:t>
      </w:r>
      <w:r w:rsidR="005F3807" w:rsidRPr="006333CC">
        <w:rPr>
          <w:rFonts w:ascii="Times New Roman" w:hAnsi="Times New Roman" w:cs="Times New Roman"/>
          <w:sz w:val="28"/>
          <w:szCs w:val="28"/>
        </w:rPr>
        <w:t xml:space="preserve">en deux étapes </w:t>
      </w:r>
      <w:r w:rsidR="00705D27" w:rsidRPr="006333CC">
        <w:rPr>
          <w:rFonts w:ascii="Times New Roman" w:hAnsi="Times New Roman" w:cs="Times New Roman"/>
          <w:sz w:val="28"/>
          <w:szCs w:val="28"/>
        </w:rPr>
        <w:t>par les conseillers nationaux,</w:t>
      </w:r>
      <w:r w:rsidR="005F3807" w:rsidRPr="006333CC">
        <w:rPr>
          <w:rFonts w:ascii="Times New Roman" w:hAnsi="Times New Roman" w:cs="Times New Roman"/>
          <w:sz w:val="28"/>
          <w:szCs w:val="28"/>
        </w:rPr>
        <w:t xml:space="preserve"> dans ses</w:t>
      </w:r>
      <w:r w:rsidR="001573E7" w:rsidRPr="006333CC">
        <w:rPr>
          <w:rFonts w:ascii="Times New Roman" w:hAnsi="Times New Roman" w:cs="Times New Roman"/>
          <w:sz w:val="28"/>
          <w:szCs w:val="28"/>
        </w:rPr>
        <w:t xml:space="preserve"> deux</w:t>
      </w:r>
      <w:r w:rsidR="005F3807" w:rsidRPr="006333CC">
        <w:rPr>
          <w:rFonts w:ascii="Times New Roman" w:hAnsi="Times New Roman" w:cs="Times New Roman"/>
          <w:sz w:val="28"/>
          <w:szCs w:val="28"/>
        </w:rPr>
        <w:t xml:space="preserve"> volets</w:t>
      </w:r>
      <w:r w:rsidR="00705D27" w:rsidRPr="006333CC">
        <w:rPr>
          <w:rFonts w:ascii="Times New Roman" w:hAnsi="Times New Roman" w:cs="Times New Roman"/>
          <w:sz w:val="28"/>
          <w:szCs w:val="28"/>
        </w:rPr>
        <w:t xml:space="preserve"> recettes et dépenses, respectivement du 23 au 26 décembre</w:t>
      </w:r>
      <w:r w:rsidR="001573E7" w:rsidRPr="006333CC">
        <w:rPr>
          <w:rFonts w:ascii="Times New Roman" w:hAnsi="Times New Roman" w:cs="Times New Roman"/>
          <w:sz w:val="28"/>
          <w:szCs w:val="28"/>
        </w:rPr>
        <w:t xml:space="preserve"> en son ‘’Volet Recettes’’</w:t>
      </w:r>
      <w:r w:rsidR="00705D27" w:rsidRPr="006333CC">
        <w:rPr>
          <w:rFonts w:ascii="Times New Roman" w:hAnsi="Times New Roman" w:cs="Times New Roman"/>
          <w:sz w:val="28"/>
          <w:szCs w:val="28"/>
        </w:rPr>
        <w:t xml:space="preserve"> et du 27 au 31 décembre 2023</w:t>
      </w:r>
      <w:r w:rsidR="001573E7" w:rsidRPr="006333CC">
        <w:rPr>
          <w:rFonts w:ascii="Times New Roman" w:hAnsi="Times New Roman" w:cs="Times New Roman"/>
          <w:sz w:val="28"/>
          <w:szCs w:val="28"/>
        </w:rPr>
        <w:t xml:space="preserve"> pour le ‘’Volet Dépenses’’.</w:t>
      </w:r>
    </w:p>
    <w:p w14:paraId="5BF41086" w14:textId="3CC8427E" w:rsidR="00234638" w:rsidRPr="006333CC" w:rsidRDefault="00384CDF" w:rsidP="0061303D">
      <w:pPr>
        <w:jc w:val="both"/>
        <w:rPr>
          <w:rFonts w:ascii="Times New Roman" w:hAnsi="Times New Roman" w:cs="Times New Roman"/>
          <w:sz w:val="28"/>
          <w:szCs w:val="28"/>
        </w:rPr>
      </w:pPr>
      <w:r w:rsidRPr="006333CC">
        <w:rPr>
          <w:rFonts w:ascii="Times New Roman" w:hAnsi="Times New Roman" w:cs="Times New Roman"/>
          <w:sz w:val="28"/>
          <w:szCs w:val="28"/>
        </w:rPr>
        <w:t xml:space="preserve"> </w:t>
      </w:r>
    </w:p>
    <w:p w14:paraId="2F0F0122" w14:textId="2ACFA269" w:rsidR="00234638" w:rsidRPr="006333CC" w:rsidRDefault="00234638" w:rsidP="0061303D">
      <w:pPr>
        <w:jc w:val="both"/>
        <w:rPr>
          <w:rFonts w:ascii="Times New Roman" w:hAnsi="Times New Roman" w:cs="Times New Roman"/>
          <w:sz w:val="28"/>
          <w:szCs w:val="28"/>
        </w:rPr>
      </w:pPr>
      <w:r w:rsidRPr="006333CC">
        <w:rPr>
          <w:rFonts w:ascii="Times New Roman" w:hAnsi="Times New Roman" w:cs="Times New Roman"/>
          <w:sz w:val="28"/>
          <w:szCs w:val="28"/>
        </w:rPr>
        <w:t>Les différentes commissions permanentes, parfois de façon conjointe, ont reçu les ministres</w:t>
      </w:r>
      <w:r w:rsidR="007C196D" w:rsidRPr="006333CC">
        <w:rPr>
          <w:rFonts w:ascii="Times New Roman" w:hAnsi="Times New Roman" w:cs="Times New Roman"/>
          <w:sz w:val="28"/>
          <w:szCs w:val="28"/>
        </w:rPr>
        <w:t xml:space="preserve"> et</w:t>
      </w:r>
      <w:r w:rsidRPr="006333CC">
        <w:rPr>
          <w:rFonts w:ascii="Times New Roman" w:hAnsi="Times New Roman" w:cs="Times New Roman"/>
          <w:sz w:val="28"/>
          <w:szCs w:val="28"/>
        </w:rPr>
        <w:t xml:space="preserve"> cadres des départements ou institutions républicaines</w:t>
      </w:r>
      <w:r w:rsidR="00BD06B7" w:rsidRPr="006333CC">
        <w:rPr>
          <w:rFonts w:ascii="Times New Roman" w:hAnsi="Times New Roman" w:cs="Times New Roman"/>
          <w:sz w:val="28"/>
          <w:szCs w:val="28"/>
        </w:rPr>
        <w:t xml:space="preserve"> pour débattre de leurs projets de budgets respectifs</w:t>
      </w:r>
      <w:r w:rsidR="007C196D" w:rsidRPr="006333CC">
        <w:rPr>
          <w:rFonts w:ascii="Times New Roman" w:hAnsi="Times New Roman" w:cs="Times New Roman"/>
          <w:sz w:val="28"/>
          <w:szCs w:val="28"/>
        </w:rPr>
        <w:t> </w:t>
      </w:r>
      <w:r w:rsidR="00372EE4" w:rsidRPr="006333CC">
        <w:rPr>
          <w:rFonts w:ascii="Times New Roman" w:hAnsi="Times New Roman" w:cs="Times New Roman"/>
          <w:sz w:val="28"/>
          <w:szCs w:val="28"/>
        </w:rPr>
        <w:t>ainsi que</w:t>
      </w:r>
      <w:r w:rsidR="007C196D" w:rsidRPr="006333CC">
        <w:rPr>
          <w:rFonts w:ascii="Times New Roman" w:hAnsi="Times New Roman" w:cs="Times New Roman"/>
          <w:sz w:val="28"/>
          <w:szCs w:val="28"/>
        </w:rPr>
        <w:t xml:space="preserve"> de leurs politiques sectorielles</w:t>
      </w:r>
      <w:r w:rsidR="00372EE4" w:rsidRPr="006333CC">
        <w:rPr>
          <w:rFonts w:ascii="Times New Roman" w:hAnsi="Times New Roman" w:cs="Times New Roman"/>
          <w:sz w:val="28"/>
          <w:szCs w:val="28"/>
        </w:rPr>
        <w:t>, par ricochet</w:t>
      </w:r>
      <w:r w:rsidR="00BD06B7" w:rsidRPr="006333CC">
        <w:rPr>
          <w:rFonts w:ascii="Times New Roman" w:hAnsi="Times New Roman" w:cs="Times New Roman"/>
          <w:sz w:val="28"/>
          <w:szCs w:val="28"/>
        </w:rPr>
        <w:t>.</w:t>
      </w:r>
    </w:p>
    <w:p w14:paraId="73C503D3" w14:textId="77777777" w:rsidR="0061303D" w:rsidRPr="006333CC" w:rsidRDefault="0061303D" w:rsidP="0061303D">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 </w:t>
      </w:r>
    </w:p>
    <w:p w14:paraId="5776C202"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b/>
          <w:bCs/>
          <w:color w:val="000000"/>
          <w:sz w:val="28"/>
          <w:szCs w:val="28"/>
        </w:rPr>
        <w:t>Honorables Conseillers Nationaux,</w:t>
      </w:r>
    </w:p>
    <w:p w14:paraId="01FD9B53"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Suite à la baisse des recettes du projet de loi de finances 2024 de 446,11 Mds, les dépenses ont été réévaluées à 37 682,58 Mds contre une prévision dans la Loi de Finances Rectificative 2023 de 37 249,45 Mds (+1,16%). Rapportées au PIB, les dépenses s’établissent à 18,55%.</w:t>
      </w:r>
    </w:p>
    <w:p w14:paraId="793C7566" w14:textId="77777777" w:rsidR="00E942D2" w:rsidRPr="006333CC" w:rsidRDefault="00E942D2" w:rsidP="00E942D2">
      <w:pPr>
        <w:jc w:val="both"/>
        <w:rPr>
          <w:rFonts w:ascii="-webkit-standard" w:hAnsi="-webkit-standard" w:cs="Times New Roman"/>
          <w:color w:val="FF0000"/>
          <w:sz w:val="28"/>
          <w:szCs w:val="28"/>
        </w:rPr>
      </w:pPr>
      <w:r w:rsidRPr="006333CC">
        <w:rPr>
          <w:rFonts w:ascii="-webkit-standard" w:hAnsi="-webkit-standard" w:cs="Times New Roman"/>
          <w:color w:val="FF0000"/>
          <w:sz w:val="28"/>
          <w:szCs w:val="28"/>
        </w:rPr>
        <w:t> </w:t>
      </w:r>
    </w:p>
    <w:p w14:paraId="1F70B761" w14:textId="7A36F0A0" w:rsidR="00E942D2" w:rsidRDefault="00E942D2" w:rsidP="00E942D2">
      <w:pPr>
        <w:ind w:left="-113" w:right="-113" w:firstLine="708"/>
        <w:jc w:val="both"/>
        <w:rPr>
          <w:sz w:val="20"/>
          <w:szCs w:val="20"/>
        </w:rPr>
      </w:pPr>
      <w:r w:rsidRPr="00EA7EF1">
        <w:rPr>
          <w:b/>
          <w:sz w:val="20"/>
          <w:szCs w:val="20"/>
          <w:u w:val="single"/>
        </w:rPr>
        <w:t xml:space="preserve">Tableau </w:t>
      </w:r>
      <w:r w:rsidR="00372EE4">
        <w:rPr>
          <w:b/>
          <w:sz w:val="20"/>
          <w:szCs w:val="20"/>
          <w:u w:val="single"/>
        </w:rPr>
        <w:t>1</w:t>
      </w:r>
      <w:r w:rsidRPr="00EA7EF1">
        <w:rPr>
          <w:b/>
          <w:sz w:val="20"/>
          <w:szCs w:val="20"/>
          <w:u w:val="single"/>
        </w:rPr>
        <w:t> :</w:t>
      </w:r>
      <w:r w:rsidRPr="00EA7EF1">
        <w:rPr>
          <w:sz w:val="20"/>
          <w:szCs w:val="20"/>
        </w:rPr>
        <w:t xml:space="preserve"> Projection des dépenses par nature en milliards de GNF.</w:t>
      </w:r>
    </w:p>
    <w:tbl>
      <w:tblPr>
        <w:tblW w:w="9600" w:type="dxa"/>
        <w:tblLook w:val="04A0" w:firstRow="1" w:lastRow="0" w:firstColumn="1" w:lastColumn="0" w:noHBand="0" w:noVBand="1"/>
      </w:tblPr>
      <w:tblGrid>
        <w:gridCol w:w="3260"/>
        <w:gridCol w:w="1200"/>
        <w:gridCol w:w="1200"/>
        <w:gridCol w:w="1200"/>
        <w:gridCol w:w="1565"/>
        <w:gridCol w:w="1200"/>
      </w:tblGrid>
      <w:tr w:rsidR="00E942D2" w:rsidRPr="00C93F6B" w14:paraId="295BA9D2" w14:textId="77777777" w:rsidTr="00632215">
        <w:trPr>
          <w:trHeight w:val="510"/>
        </w:trPr>
        <w:tc>
          <w:tcPr>
            <w:tcW w:w="3260" w:type="dxa"/>
            <w:tcBorders>
              <w:top w:val="single" w:sz="4" w:space="0" w:color="auto"/>
              <w:left w:val="single" w:sz="4" w:space="0" w:color="auto"/>
              <w:bottom w:val="single" w:sz="4" w:space="0" w:color="auto"/>
              <w:right w:val="single" w:sz="4" w:space="0" w:color="auto"/>
            </w:tcBorders>
            <w:shd w:val="clear" w:color="000000" w:fill="D5DCE4"/>
            <w:noWrap/>
            <w:vAlign w:val="center"/>
            <w:hideMark/>
          </w:tcPr>
          <w:p w14:paraId="4237CF3E"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NATURE DEPENSE</w:t>
            </w:r>
          </w:p>
        </w:tc>
        <w:tc>
          <w:tcPr>
            <w:tcW w:w="1200" w:type="dxa"/>
            <w:tcBorders>
              <w:top w:val="single" w:sz="4" w:space="0" w:color="auto"/>
              <w:left w:val="nil"/>
              <w:bottom w:val="single" w:sz="4" w:space="0" w:color="auto"/>
              <w:right w:val="single" w:sz="4" w:space="0" w:color="auto"/>
            </w:tcBorders>
            <w:shd w:val="clear" w:color="000000" w:fill="D5DCE4"/>
            <w:noWrap/>
            <w:vAlign w:val="center"/>
            <w:hideMark/>
          </w:tcPr>
          <w:p w14:paraId="7216508B"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 xml:space="preserve"> LFR 2023 (1)</w:t>
            </w:r>
          </w:p>
        </w:tc>
        <w:tc>
          <w:tcPr>
            <w:tcW w:w="1200" w:type="dxa"/>
            <w:tcBorders>
              <w:top w:val="single" w:sz="4" w:space="0" w:color="auto"/>
              <w:left w:val="nil"/>
              <w:bottom w:val="single" w:sz="4" w:space="0" w:color="auto"/>
              <w:right w:val="single" w:sz="4" w:space="0" w:color="auto"/>
            </w:tcBorders>
            <w:shd w:val="clear" w:color="000000" w:fill="D5DCE4"/>
            <w:noWrap/>
            <w:vAlign w:val="center"/>
            <w:hideMark/>
          </w:tcPr>
          <w:p w14:paraId="5D1CC839"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PLF 2024 (2)</w:t>
            </w:r>
          </w:p>
        </w:tc>
        <w:tc>
          <w:tcPr>
            <w:tcW w:w="1200" w:type="dxa"/>
            <w:tcBorders>
              <w:top w:val="single" w:sz="4" w:space="0" w:color="auto"/>
              <w:left w:val="nil"/>
              <w:bottom w:val="single" w:sz="4" w:space="0" w:color="auto"/>
              <w:right w:val="single" w:sz="4" w:space="0" w:color="auto"/>
            </w:tcBorders>
            <w:shd w:val="clear" w:color="000000" w:fill="D5DCE4"/>
            <w:noWrap/>
            <w:vAlign w:val="center"/>
            <w:hideMark/>
          </w:tcPr>
          <w:p w14:paraId="343A29EB"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 xml:space="preserve"> Écart (2-1)</w:t>
            </w:r>
          </w:p>
        </w:tc>
        <w:tc>
          <w:tcPr>
            <w:tcW w:w="1540" w:type="dxa"/>
            <w:tcBorders>
              <w:top w:val="single" w:sz="4" w:space="0" w:color="auto"/>
              <w:left w:val="nil"/>
              <w:bottom w:val="single" w:sz="4" w:space="0" w:color="auto"/>
              <w:right w:val="single" w:sz="4" w:space="0" w:color="auto"/>
            </w:tcBorders>
            <w:shd w:val="clear" w:color="000000" w:fill="D5DCE4"/>
            <w:vAlign w:val="center"/>
            <w:hideMark/>
          </w:tcPr>
          <w:p w14:paraId="3666F5D6"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Taux d'accroissement</w:t>
            </w:r>
          </w:p>
        </w:tc>
        <w:tc>
          <w:tcPr>
            <w:tcW w:w="1200" w:type="dxa"/>
            <w:tcBorders>
              <w:top w:val="single" w:sz="4" w:space="0" w:color="auto"/>
              <w:left w:val="nil"/>
              <w:bottom w:val="single" w:sz="4" w:space="0" w:color="auto"/>
              <w:right w:val="single" w:sz="4" w:space="0" w:color="auto"/>
            </w:tcBorders>
            <w:shd w:val="clear" w:color="000000" w:fill="D5DCE4"/>
            <w:noWrap/>
            <w:vAlign w:val="center"/>
            <w:hideMark/>
          </w:tcPr>
          <w:p w14:paraId="26F1E7F0"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Part</w:t>
            </w:r>
          </w:p>
        </w:tc>
      </w:tr>
      <w:tr w:rsidR="00E942D2" w:rsidRPr="00C93F6B" w14:paraId="701B9EAA"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D5DCE4"/>
            <w:noWrap/>
            <w:vAlign w:val="center"/>
            <w:hideMark/>
          </w:tcPr>
          <w:p w14:paraId="3C8EA9A4" w14:textId="77777777" w:rsidR="00E942D2" w:rsidRPr="00C93F6B" w:rsidRDefault="00E942D2" w:rsidP="00632215">
            <w:pP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Budget de l'Etat</w:t>
            </w:r>
          </w:p>
        </w:tc>
        <w:tc>
          <w:tcPr>
            <w:tcW w:w="1200" w:type="dxa"/>
            <w:tcBorders>
              <w:top w:val="nil"/>
              <w:left w:val="nil"/>
              <w:bottom w:val="single" w:sz="4" w:space="0" w:color="auto"/>
              <w:right w:val="single" w:sz="4" w:space="0" w:color="auto"/>
            </w:tcBorders>
            <w:shd w:val="clear" w:color="000000" w:fill="D5DCE4"/>
            <w:noWrap/>
            <w:vAlign w:val="center"/>
            <w:hideMark/>
          </w:tcPr>
          <w:p w14:paraId="480ED5F0"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37 249,45</w:t>
            </w:r>
          </w:p>
        </w:tc>
        <w:tc>
          <w:tcPr>
            <w:tcW w:w="1200" w:type="dxa"/>
            <w:tcBorders>
              <w:top w:val="nil"/>
              <w:left w:val="nil"/>
              <w:bottom w:val="single" w:sz="4" w:space="0" w:color="auto"/>
              <w:right w:val="single" w:sz="4" w:space="0" w:color="auto"/>
            </w:tcBorders>
            <w:shd w:val="clear" w:color="000000" w:fill="D5DCE4"/>
            <w:noWrap/>
            <w:vAlign w:val="center"/>
            <w:hideMark/>
          </w:tcPr>
          <w:p w14:paraId="7C323E76"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37 682,58</w:t>
            </w:r>
          </w:p>
        </w:tc>
        <w:tc>
          <w:tcPr>
            <w:tcW w:w="1200" w:type="dxa"/>
            <w:tcBorders>
              <w:top w:val="nil"/>
              <w:left w:val="nil"/>
              <w:bottom w:val="single" w:sz="4" w:space="0" w:color="auto"/>
              <w:right w:val="single" w:sz="4" w:space="0" w:color="auto"/>
            </w:tcBorders>
            <w:shd w:val="clear" w:color="000000" w:fill="D5DCE4"/>
            <w:noWrap/>
            <w:vAlign w:val="center"/>
            <w:hideMark/>
          </w:tcPr>
          <w:p w14:paraId="2E9332C0"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433,13</w:t>
            </w:r>
          </w:p>
        </w:tc>
        <w:tc>
          <w:tcPr>
            <w:tcW w:w="1540" w:type="dxa"/>
            <w:tcBorders>
              <w:top w:val="nil"/>
              <w:left w:val="nil"/>
              <w:bottom w:val="single" w:sz="4" w:space="0" w:color="auto"/>
              <w:right w:val="single" w:sz="4" w:space="0" w:color="auto"/>
            </w:tcBorders>
            <w:shd w:val="clear" w:color="000000" w:fill="D5DCE4"/>
            <w:noWrap/>
            <w:vAlign w:val="center"/>
            <w:hideMark/>
          </w:tcPr>
          <w:p w14:paraId="600EA938"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1,16%</w:t>
            </w:r>
          </w:p>
        </w:tc>
        <w:tc>
          <w:tcPr>
            <w:tcW w:w="1200" w:type="dxa"/>
            <w:tcBorders>
              <w:top w:val="nil"/>
              <w:left w:val="nil"/>
              <w:bottom w:val="single" w:sz="4" w:space="0" w:color="auto"/>
              <w:right w:val="single" w:sz="4" w:space="0" w:color="auto"/>
            </w:tcBorders>
            <w:shd w:val="clear" w:color="000000" w:fill="D5DCE4"/>
            <w:noWrap/>
            <w:vAlign w:val="center"/>
            <w:hideMark/>
          </w:tcPr>
          <w:p w14:paraId="2D7EAF66"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100,00%</w:t>
            </w:r>
          </w:p>
        </w:tc>
      </w:tr>
      <w:tr w:rsidR="00E942D2" w:rsidRPr="00C93F6B" w14:paraId="5DCF4557"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D5DCE4"/>
            <w:noWrap/>
            <w:vAlign w:val="center"/>
            <w:hideMark/>
          </w:tcPr>
          <w:p w14:paraId="6EA2CBF4" w14:textId="77777777" w:rsidR="00E942D2" w:rsidRPr="00C93F6B" w:rsidRDefault="00E942D2" w:rsidP="00632215">
            <w:pP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Budget Général</w:t>
            </w:r>
          </w:p>
        </w:tc>
        <w:tc>
          <w:tcPr>
            <w:tcW w:w="1200" w:type="dxa"/>
            <w:tcBorders>
              <w:top w:val="nil"/>
              <w:left w:val="nil"/>
              <w:bottom w:val="single" w:sz="4" w:space="0" w:color="auto"/>
              <w:right w:val="single" w:sz="4" w:space="0" w:color="auto"/>
            </w:tcBorders>
            <w:shd w:val="clear" w:color="000000" w:fill="D5DCE4"/>
            <w:noWrap/>
            <w:vAlign w:val="center"/>
            <w:hideMark/>
          </w:tcPr>
          <w:p w14:paraId="76773491"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36 052,30</w:t>
            </w:r>
          </w:p>
        </w:tc>
        <w:tc>
          <w:tcPr>
            <w:tcW w:w="1200" w:type="dxa"/>
            <w:tcBorders>
              <w:top w:val="nil"/>
              <w:left w:val="nil"/>
              <w:bottom w:val="single" w:sz="4" w:space="0" w:color="auto"/>
              <w:right w:val="single" w:sz="4" w:space="0" w:color="auto"/>
            </w:tcBorders>
            <w:shd w:val="clear" w:color="000000" w:fill="D5DCE4"/>
            <w:noWrap/>
            <w:vAlign w:val="center"/>
            <w:hideMark/>
          </w:tcPr>
          <w:p w14:paraId="5628924A"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36 633,95</w:t>
            </w:r>
          </w:p>
        </w:tc>
        <w:tc>
          <w:tcPr>
            <w:tcW w:w="1200" w:type="dxa"/>
            <w:tcBorders>
              <w:top w:val="nil"/>
              <w:left w:val="nil"/>
              <w:bottom w:val="single" w:sz="4" w:space="0" w:color="auto"/>
              <w:right w:val="single" w:sz="4" w:space="0" w:color="auto"/>
            </w:tcBorders>
            <w:shd w:val="clear" w:color="000000" w:fill="D5DCE4"/>
            <w:noWrap/>
            <w:vAlign w:val="center"/>
            <w:hideMark/>
          </w:tcPr>
          <w:p w14:paraId="6D810536"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581,65</w:t>
            </w:r>
          </w:p>
        </w:tc>
        <w:tc>
          <w:tcPr>
            <w:tcW w:w="1540" w:type="dxa"/>
            <w:tcBorders>
              <w:top w:val="nil"/>
              <w:left w:val="nil"/>
              <w:bottom w:val="single" w:sz="4" w:space="0" w:color="auto"/>
              <w:right w:val="single" w:sz="4" w:space="0" w:color="auto"/>
            </w:tcBorders>
            <w:shd w:val="clear" w:color="000000" w:fill="D5DCE4"/>
            <w:noWrap/>
            <w:vAlign w:val="center"/>
            <w:hideMark/>
          </w:tcPr>
          <w:p w14:paraId="09B1CAC7"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1,61%</w:t>
            </w:r>
          </w:p>
        </w:tc>
        <w:tc>
          <w:tcPr>
            <w:tcW w:w="1200" w:type="dxa"/>
            <w:tcBorders>
              <w:top w:val="nil"/>
              <w:left w:val="nil"/>
              <w:bottom w:val="single" w:sz="4" w:space="0" w:color="auto"/>
              <w:right w:val="single" w:sz="4" w:space="0" w:color="auto"/>
            </w:tcBorders>
            <w:shd w:val="clear" w:color="000000" w:fill="D5DCE4"/>
            <w:noWrap/>
            <w:vAlign w:val="center"/>
            <w:hideMark/>
          </w:tcPr>
          <w:p w14:paraId="04BCE5F9"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97,22%</w:t>
            </w:r>
          </w:p>
        </w:tc>
      </w:tr>
      <w:tr w:rsidR="00E942D2" w:rsidRPr="00C93F6B" w14:paraId="757A8472"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E7E6E6"/>
            <w:noWrap/>
            <w:vAlign w:val="center"/>
            <w:hideMark/>
          </w:tcPr>
          <w:p w14:paraId="73A40A2C" w14:textId="77777777" w:rsidR="00E942D2" w:rsidRPr="00C93F6B" w:rsidRDefault="00E942D2" w:rsidP="00632215">
            <w:pP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Dépenses courantes</w:t>
            </w:r>
          </w:p>
        </w:tc>
        <w:tc>
          <w:tcPr>
            <w:tcW w:w="1200" w:type="dxa"/>
            <w:tcBorders>
              <w:top w:val="nil"/>
              <w:left w:val="nil"/>
              <w:bottom w:val="single" w:sz="4" w:space="0" w:color="auto"/>
              <w:right w:val="single" w:sz="4" w:space="0" w:color="auto"/>
            </w:tcBorders>
            <w:shd w:val="clear" w:color="000000" w:fill="E7E6E6"/>
            <w:noWrap/>
            <w:vAlign w:val="center"/>
            <w:hideMark/>
          </w:tcPr>
          <w:p w14:paraId="77272594"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21 622,88</w:t>
            </w:r>
          </w:p>
        </w:tc>
        <w:tc>
          <w:tcPr>
            <w:tcW w:w="1200" w:type="dxa"/>
            <w:tcBorders>
              <w:top w:val="nil"/>
              <w:left w:val="nil"/>
              <w:bottom w:val="single" w:sz="4" w:space="0" w:color="auto"/>
              <w:right w:val="single" w:sz="4" w:space="0" w:color="auto"/>
            </w:tcBorders>
            <w:shd w:val="clear" w:color="000000" w:fill="E7E6E6"/>
            <w:noWrap/>
            <w:vAlign w:val="center"/>
            <w:hideMark/>
          </w:tcPr>
          <w:p w14:paraId="33D998AD"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22 076,10</w:t>
            </w:r>
          </w:p>
        </w:tc>
        <w:tc>
          <w:tcPr>
            <w:tcW w:w="1200" w:type="dxa"/>
            <w:tcBorders>
              <w:top w:val="nil"/>
              <w:left w:val="nil"/>
              <w:bottom w:val="single" w:sz="4" w:space="0" w:color="auto"/>
              <w:right w:val="single" w:sz="4" w:space="0" w:color="auto"/>
            </w:tcBorders>
            <w:shd w:val="clear" w:color="000000" w:fill="E7E6E6"/>
            <w:noWrap/>
            <w:vAlign w:val="center"/>
            <w:hideMark/>
          </w:tcPr>
          <w:p w14:paraId="3DC2ECB4"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453,22</w:t>
            </w:r>
          </w:p>
        </w:tc>
        <w:tc>
          <w:tcPr>
            <w:tcW w:w="1540" w:type="dxa"/>
            <w:tcBorders>
              <w:top w:val="nil"/>
              <w:left w:val="nil"/>
              <w:bottom w:val="single" w:sz="4" w:space="0" w:color="auto"/>
              <w:right w:val="single" w:sz="4" w:space="0" w:color="auto"/>
            </w:tcBorders>
            <w:shd w:val="clear" w:color="000000" w:fill="E7E6E6"/>
            <w:noWrap/>
            <w:vAlign w:val="center"/>
            <w:hideMark/>
          </w:tcPr>
          <w:p w14:paraId="79FF96A5"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2,10%</w:t>
            </w:r>
          </w:p>
        </w:tc>
        <w:tc>
          <w:tcPr>
            <w:tcW w:w="1200" w:type="dxa"/>
            <w:tcBorders>
              <w:top w:val="nil"/>
              <w:left w:val="nil"/>
              <w:bottom w:val="single" w:sz="4" w:space="0" w:color="auto"/>
              <w:right w:val="single" w:sz="4" w:space="0" w:color="auto"/>
            </w:tcBorders>
            <w:shd w:val="clear" w:color="000000" w:fill="E7E6E6"/>
            <w:noWrap/>
            <w:vAlign w:val="center"/>
            <w:hideMark/>
          </w:tcPr>
          <w:p w14:paraId="5D432F4D"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60,26%</w:t>
            </w:r>
          </w:p>
        </w:tc>
      </w:tr>
      <w:tr w:rsidR="00E942D2" w:rsidRPr="00C93F6B" w14:paraId="636BE3D7"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E7E6E6"/>
            <w:noWrap/>
            <w:vAlign w:val="center"/>
            <w:hideMark/>
          </w:tcPr>
          <w:p w14:paraId="783803B2" w14:textId="77777777" w:rsidR="00E942D2" w:rsidRPr="00C93F6B" w:rsidRDefault="00E942D2" w:rsidP="00632215">
            <w:pPr>
              <w:rPr>
                <w:rFonts w:ascii="Calibri" w:eastAsia="Times New Roman" w:hAnsi="Calibri" w:cs="Calibri"/>
                <w:color w:val="000000"/>
                <w:sz w:val="20"/>
                <w:szCs w:val="20"/>
              </w:rPr>
            </w:pPr>
            <w:r w:rsidRPr="00C93F6B">
              <w:rPr>
                <w:rFonts w:ascii="Calibri" w:eastAsia="Times New Roman" w:hAnsi="Calibri" w:cs="Calibri"/>
                <w:color w:val="000000"/>
                <w:sz w:val="20"/>
                <w:szCs w:val="20"/>
              </w:rPr>
              <w:t>Charges financières de la dette</w:t>
            </w:r>
          </w:p>
        </w:tc>
        <w:tc>
          <w:tcPr>
            <w:tcW w:w="1200" w:type="dxa"/>
            <w:tcBorders>
              <w:top w:val="nil"/>
              <w:left w:val="nil"/>
              <w:bottom w:val="single" w:sz="4" w:space="0" w:color="auto"/>
              <w:right w:val="single" w:sz="4" w:space="0" w:color="auto"/>
            </w:tcBorders>
            <w:shd w:val="clear" w:color="000000" w:fill="E7E6E6"/>
            <w:noWrap/>
            <w:vAlign w:val="center"/>
            <w:hideMark/>
          </w:tcPr>
          <w:p w14:paraId="17F2AE4A"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1 063,20</w:t>
            </w:r>
          </w:p>
        </w:tc>
        <w:tc>
          <w:tcPr>
            <w:tcW w:w="1200" w:type="dxa"/>
            <w:tcBorders>
              <w:top w:val="nil"/>
              <w:left w:val="nil"/>
              <w:bottom w:val="single" w:sz="4" w:space="0" w:color="auto"/>
              <w:right w:val="single" w:sz="4" w:space="0" w:color="auto"/>
            </w:tcBorders>
            <w:shd w:val="clear" w:color="000000" w:fill="E7E6E6"/>
            <w:noWrap/>
            <w:vAlign w:val="center"/>
            <w:hideMark/>
          </w:tcPr>
          <w:p w14:paraId="541512A4"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1 406,23</w:t>
            </w:r>
          </w:p>
        </w:tc>
        <w:tc>
          <w:tcPr>
            <w:tcW w:w="1200" w:type="dxa"/>
            <w:tcBorders>
              <w:top w:val="nil"/>
              <w:left w:val="nil"/>
              <w:bottom w:val="single" w:sz="4" w:space="0" w:color="auto"/>
              <w:right w:val="single" w:sz="4" w:space="0" w:color="auto"/>
            </w:tcBorders>
            <w:shd w:val="clear" w:color="000000" w:fill="E7E6E6"/>
            <w:noWrap/>
            <w:vAlign w:val="center"/>
            <w:hideMark/>
          </w:tcPr>
          <w:p w14:paraId="4778FB8A"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343,03</w:t>
            </w:r>
          </w:p>
        </w:tc>
        <w:tc>
          <w:tcPr>
            <w:tcW w:w="1540" w:type="dxa"/>
            <w:tcBorders>
              <w:top w:val="nil"/>
              <w:left w:val="nil"/>
              <w:bottom w:val="single" w:sz="4" w:space="0" w:color="auto"/>
              <w:right w:val="single" w:sz="4" w:space="0" w:color="auto"/>
            </w:tcBorders>
            <w:shd w:val="clear" w:color="000000" w:fill="E7E6E6"/>
            <w:noWrap/>
            <w:vAlign w:val="center"/>
            <w:hideMark/>
          </w:tcPr>
          <w:p w14:paraId="0756AE6F"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32,26%</w:t>
            </w:r>
          </w:p>
        </w:tc>
        <w:tc>
          <w:tcPr>
            <w:tcW w:w="1200" w:type="dxa"/>
            <w:tcBorders>
              <w:top w:val="nil"/>
              <w:left w:val="nil"/>
              <w:bottom w:val="single" w:sz="4" w:space="0" w:color="auto"/>
              <w:right w:val="single" w:sz="4" w:space="0" w:color="auto"/>
            </w:tcBorders>
            <w:shd w:val="clear" w:color="000000" w:fill="E7E6E6"/>
            <w:noWrap/>
            <w:vAlign w:val="center"/>
            <w:hideMark/>
          </w:tcPr>
          <w:p w14:paraId="236E8EE0"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3,84%</w:t>
            </w:r>
          </w:p>
        </w:tc>
      </w:tr>
      <w:tr w:rsidR="00E942D2" w:rsidRPr="00C93F6B" w14:paraId="50AB760F"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E7E6E6"/>
            <w:noWrap/>
            <w:vAlign w:val="center"/>
            <w:hideMark/>
          </w:tcPr>
          <w:p w14:paraId="3D109F59" w14:textId="77777777" w:rsidR="00E942D2" w:rsidRPr="00C93F6B" w:rsidRDefault="00E942D2" w:rsidP="00632215">
            <w:pPr>
              <w:rPr>
                <w:rFonts w:ascii="Calibri" w:eastAsia="Times New Roman" w:hAnsi="Calibri" w:cs="Calibri"/>
                <w:color w:val="000000"/>
                <w:sz w:val="20"/>
                <w:szCs w:val="20"/>
              </w:rPr>
            </w:pPr>
            <w:r w:rsidRPr="00C93F6B">
              <w:rPr>
                <w:rFonts w:ascii="Calibri" w:eastAsia="Times New Roman" w:hAnsi="Calibri" w:cs="Calibri"/>
                <w:color w:val="000000"/>
                <w:sz w:val="20"/>
                <w:szCs w:val="20"/>
              </w:rPr>
              <w:t>Dépenses de personnel</w:t>
            </w:r>
          </w:p>
        </w:tc>
        <w:tc>
          <w:tcPr>
            <w:tcW w:w="1200" w:type="dxa"/>
            <w:tcBorders>
              <w:top w:val="nil"/>
              <w:left w:val="nil"/>
              <w:bottom w:val="single" w:sz="4" w:space="0" w:color="auto"/>
              <w:right w:val="single" w:sz="4" w:space="0" w:color="auto"/>
            </w:tcBorders>
            <w:shd w:val="clear" w:color="000000" w:fill="E7E6E6"/>
            <w:noWrap/>
            <w:vAlign w:val="center"/>
            <w:hideMark/>
          </w:tcPr>
          <w:p w14:paraId="41BDF6EB"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7 831,50</w:t>
            </w:r>
          </w:p>
        </w:tc>
        <w:tc>
          <w:tcPr>
            <w:tcW w:w="1200" w:type="dxa"/>
            <w:tcBorders>
              <w:top w:val="nil"/>
              <w:left w:val="nil"/>
              <w:bottom w:val="single" w:sz="4" w:space="0" w:color="auto"/>
              <w:right w:val="single" w:sz="4" w:space="0" w:color="auto"/>
            </w:tcBorders>
            <w:shd w:val="clear" w:color="000000" w:fill="E7E6E6"/>
            <w:noWrap/>
            <w:vAlign w:val="center"/>
            <w:hideMark/>
          </w:tcPr>
          <w:p w14:paraId="2FB66A31"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9 270,53</w:t>
            </w:r>
          </w:p>
        </w:tc>
        <w:tc>
          <w:tcPr>
            <w:tcW w:w="1200" w:type="dxa"/>
            <w:tcBorders>
              <w:top w:val="nil"/>
              <w:left w:val="nil"/>
              <w:bottom w:val="single" w:sz="4" w:space="0" w:color="auto"/>
              <w:right w:val="single" w:sz="4" w:space="0" w:color="auto"/>
            </w:tcBorders>
            <w:shd w:val="clear" w:color="000000" w:fill="E7E6E6"/>
            <w:noWrap/>
            <w:vAlign w:val="center"/>
            <w:hideMark/>
          </w:tcPr>
          <w:p w14:paraId="0414A4F5"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1 439,03</w:t>
            </w:r>
          </w:p>
        </w:tc>
        <w:tc>
          <w:tcPr>
            <w:tcW w:w="1540" w:type="dxa"/>
            <w:tcBorders>
              <w:top w:val="nil"/>
              <w:left w:val="nil"/>
              <w:bottom w:val="single" w:sz="4" w:space="0" w:color="auto"/>
              <w:right w:val="single" w:sz="4" w:space="0" w:color="auto"/>
            </w:tcBorders>
            <w:shd w:val="clear" w:color="000000" w:fill="E7E6E6"/>
            <w:noWrap/>
            <w:vAlign w:val="center"/>
            <w:hideMark/>
          </w:tcPr>
          <w:p w14:paraId="2709059A"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18,37%</w:t>
            </w:r>
          </w:p>
        </w:tc>
        <w:tc>
          <w:tcPr>
            <w:tcW w:w="1200" w:type="dxa"/>
            <w:tcBorders>
              <w:top w:val="nil"/>
              <w:left w:val="nil"/>
              <w:bottom w:val="single" w:sz="4" w:space="0" w:color="auto"/>
              <w:right w:val="single" w:sz="4" w:space="0" w:color="auto"/>
            </w:tcBorders>
            <w:shd w:val="clear" w:color="000000" w:fill="E7E6E6"/>
            <w:noWrap/>
            <w:vAlign w:val="center"/>
            <w:hideMark/>
          </w:tcPr>
          <w:p w14:paraId="20289A12"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25,31%</w:t>
            </w:r>
          </w:p>
        </w:tc>
      </w:tr>
      <w:tr w:rsidR="00E942D2" w:rsidRPr="00C93F6B" w14:paraId="11B57FE7"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E7E6E6"/>
            <w:noWrap/>
            <w:vAlign w:val="center"/>
            <w:hideMark/>
          </w:tcPr>
          <w:p w14:paraId="5CDD0F44" w14:textId="77777777" w:rsidR="00E942D2" w:rsidRPr="00C93F6B" w:rsidRDefault="00E942D2" w:rsidP="00632215">
            <w:pPr>
              <w:rPr>
                <w:rFonts w:ascii="Calibri" w:eastAsia="Times New Roman" w:hAnsi="Calibri" w:cs="Calibri"/>
                <w:color w:val="000000"/>
                <w:sz w:val="20"/>
                <w:szCs w:val="20"/>
              </w:rPr>
            </w:pPr>
            <w:r w:rsidRPr="00C93F6B">
              <w:rPr>
                <w:rFonts w:ascii="Calibri" w:eastAsia="Times New Roman" w:hAnsi="Calibri" w:cs="Calibri"/>
                <w:color w:val="000000"/>
                <w:sz w:val="20"/>
                <w:szCs w:val="20"/>
              </w:rPr>
              <w:t>Dépenses de biens et services</w:t>
            </w:r>
          </w:p>
        </w:tc>
        <w:tc>
          <w:tcPr>
            <w:tcW w:w="1200" w:type="dxa"/>
            <w:tcBorders>
              <w:top w:val="nil"/>
              <w:left w:val="nil"/>
              <w:bottom w:val="single" w:sz="4" w:space="0" w:color="auto"/>
              <w:right w:val="single" w:sz="4" w:space="0" w:color="auto"/>
            </w:tcBorders>
            <w:shd w:val="clear" w:color="000000" w:fill="E7E6E6"/>
            <w:noWrap/>
            <w:vAlign w:val="center"/>
            <w:hideMark/>
          </w:tcPr>
          <w:p w14:paraId="279F7A2C"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4 116,86</w:t>
            </w:r>
          </w:p>
        </w:tc>
        <w:tc>
          <w:tcPr>
            <w:tcW w:w="1200" w:type="dxa"/>
            <w:tcBorders>
              <w:top w:val="nil"/>
              <w:left w:val="nil"/>
              <w:bottom w:val="single" w:sz="4" w:space="0" w:color="auto"/>
              <w:right w:val="single" w:sz="4" w:space="0" w:color="auto"/>
            </w:tcBorders>
            <w:shd w:val="clear" w:color="000000" w:fill="E7E6E6"/>
            <w:noWrap/>
            <w:vAlign w:val="center"/>
            <w:hideMark/>
          </w:tcPr>
          <w:p w14:paraId="2C1EB4FD"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3 994,19</w:t>
            </w:r>
          </w:p>
        </w:tc>
        <w:tc>
          <w:tcPr>
            <w:tcW w:w="1200" w:type="dxa"/>
            <w:tcBorders>
              <w:top w:val="nil"/>
              <w:left w:val="nil"/>
              <w:bottom w:val="single" w:sz="4" w:space="0" w:color="auto"/>
              <w:right w:val="single" w:sz="4" w:space="0" w:color="auto"/>
            </w:tcBorders>
            <w:shd w:val="clear" w:color="000000" w:fill="E7E6E6"/>
            <w:noWrap/>
            <w:vAlign w:val="center"/>
            <w:hideMark/>
          </w:tcPr>
          <w:p w14:paraId="311220EF"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-122,67</w:t>
            </w:r>
          </w:p>
        </w:tc>
        <w:tc>
          <w:tcPr>
            <w:tcW w:w="1540" w:type="dxa"/>
            <w:tcBorders>
              <w:top w:val="nil"/>
              <w:left w:val="nil"/>
              <w:bottom w:val="single" w:sz="4" w:space="0" w:color="auto"/>
              <w:right w:val="single" w:sz="4" w:space="0" w:color="auto"/>
            </w:tcBorders>
            <w:shd w:val="clear" w:color="000000" w:fill="E7E6E6"/>
            <w:noWrap/>
            <w:vAlign w:val="center"/>
            <w:hideMark/>
          </w:tcPr>
          <w:p w14:paraId="1F862E31"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-2,98%</w:t>
            </w:r>
          </w:p>
        </w:tc>
        <w:tc>
          <w:tcPr>
            <w:tcW w:w="1200" w:type="dxa"/>
            <w:tcBorders>
              <w:top w:val="nil"/>
              <w:left w:val="nil"/>
              <w:bottom w:val="single" w:sz="4" w:space="0" w:color="auto"/>
              <w:right w:val="single" w:sz="4" w:space="0" w:color="auto"/>
            </w:tcBorders>
            <w:shd w:val="clear" w:color="000000" w:fill="E7E6E6"/>
            <w:noWrap/>
            <w:vAlign w:val="center"/>
            <w:hideMark/>
          </w:tcPr>
          <w:p w14:paraId="79A6DE92"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10,90%</w:t>
            </w:r>
          </w:p>
        </w:tc>
      </w:tr>
      <w:tr w:rsidR="00E942D2" w:rsidRPr="00C93F6B" w14:paraId="1EA7D50E"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E7E6E6"/>
            <w:vAlign w:val="center"/>
            <w:hideMark/>
          </w:tcPr>
          <w:p w14:paraId="7AF873F1" w14:textId="77777777" w:rsidR="00E942D2" w:rsidRPr="00C93F6B" w:rsidRDefault="00E942D2" w:rsidP="00632215">
            <w:pPr>
              <w:rPr>
                <w:rFonts w:ascii="Calibri" w:eastAsia="Times New Roman" w:hAnsi="Calibri" w:cs="Calibri"/>
                <w:color w:val="000000"/>
                <w:sz w:val="20"/>
                <w:szCs w:val="20"/>
              </w:rPr>
            </w:pPr>
            <w:r w:rsidRPr="00C93F6B">
              <w:rPr>
                <w:rFonts w:ascii="Calibri" w:eastAsia="Times New Roman" w:hAnsi="Calibri" w:cs="Calibri"/>
                <w:color w:val="000000"/>
                <w:sz w:val="20"/>
                <w:szCs w:val="20"/>
              </w:rPr>
              <w:t>Dépenses de transfert</w:t>
            </w:r>
          </w:p>
        </w:tc>
        <w:tc>
          <w:tcPr>
            <w:tcW w:w="1200" w:type="dxa"/>
            <w:tcBorders>
              <w:top w:val="nil"/>
              <w:left w:val="nil"/>
              <w:bottom w:val="single" w:sz="4" w:space="0" w:color="auto"/>
              <w:right w:val="single" w:sz="4" w:space="0" w:color="auto"/>
            </w:tcBorders>
            <w:shd w:val="clear" w:color="000000" w:fill="E7E6E6"/>
            <w:noWrap/>
            <w:vAlign w:val="center"/>
            <w:hideMark/>
          </w:tcPr>
          <w:p w14:paraId="2884D924"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8 611,32</w:t>
            </w:r>
          </w:p>
        </w:tc>
        <w:tc>
          <w:tcPr>
            <w:tcW w:w="1200" w:type="dxa"/>
            <w:tcBorders>
              <w:top w:val="nil"/>
              <w:left w:val="nil"/>
              <w:bottom w:val="single" w:sz="4" w:space="0" w:color="auto"/>
              <w:right w:val="single" w:sz="4" w:space="0" w:color="auto"/>
            </w:tcBorders>
            <w:shd w:val="clear" w:color="000000" w:fill="E7E6E6"/>
            <w:noWrap/>
            <w:vAlign w:val="center"/>
            <w:hideMark/>
          </w:tcPr>
          <w:p w14:paraId="0B8B05D6"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7 405,15</w:t>
            </w:r>
          </w:p>
        </w:tc>
        <w:tc>
          <w:tcPr>
            <w:tcW w:w="1200" w:type="dxa"/>
            <w:tcBorders>
              <w:top w:val="nil"/>
              <w:left w:val="nil"/>
              <w:bottom w:val="single" w:sz="4" w:space="0" w:color="auto"/>
              <w:right w:val="single" w:sz="4" w:space="0" w:color="auto"/>
            </w:tcBorders>
            <w:shd w:val="clear" w:color="000000" w:fill="E7E6E6"/>
            <w:noWrap/>
            <w:vAlign w:val="center"/>
            <w:hideMark/>
          </w:tcPr>
          <w:p w14:paraId="6F6B885B"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-1 206,17</w:t>
            </w:r>
          </w:p>
        </w:tc>
        <w:tc>
          <w:tcPr>
            <w:tcW w:w="1540" w:type="dxa"/>
            <w:tcBorders>
              <w:top w:val="nil"/>
              <w:left w:val="nil"/>
              <w:bottom w:val="single" w:sz="4" w:space="0" w:color="auto"/>
              <w:right w:val="single" w:sz="4" w:space="0" w:color="auto"/>
            </w:tcBorders>
            <w:shd w:val="clear" w:color="000000" w:fill="E7E6E6"/>
            <w:noWrap/>
            <w:vAlign w:val="center"/>
            <w:hideMark/>
          </w:tcPr>
          <w:p w14:paraId="0B5AEBF2"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-14,01%</w:t>
            </w:r>
          </w:p>
        </w:tc>
        <w:tc>
          <w:tcPr>
            <w:tcW w:w="1200" w:type="dxa"/>
            <w:tcBorders>
              <w:top w:val="nil"/>
              <w:left w:val="nil"/>
              <w:bottom w:val="single" w:sz="4" w:space="0" w:color="auto"/>
              <w:right w:val="single" w:sz="4" w:space="0" w:color="auto"/>
            </w:tcBorders>
            <w:shd w:val="clear" w:color="000000" w:fill="E7E6E6"/>
            <w:noWrap/>
            <w:vAlign w:val="center"/>
            <w:hideMark/>
          </w:tcPr>
          <w:p w14:paraId="3A1A5125"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20,21%</w:t>
            </w:r>
          </w:p>
        </w:tc>
      </w:tr>
      <w:tr w:rsidR="00E942D2" w:rsidRPr="00C93F6B" w14:paraId="2CDCA378" w14:textId="77777777" w:rsidTr="00632215">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A5410B"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 xml:space="preserve">      dont EDG</w:t>
            </w:r>
          </w:p>
        </w:tc>
        <w:tc>
          <w:tcPr>
            <w:tcW w:w="1200" w:type="dxa"/>
            <w:tcBorders>
              <w:top w:val="nil"/>
              <w:left w:val="nil"/>
              <w:bottom w:val="single" w:sz="4" w:space="0" w:color="auto"/>
              <w:right w:val="single" w:sz="4" w:space="0" w:color="auto"/>
            </w:tcBorders>
            <w:shd w:val="clear" w:color="auto" w:fill="auto"/>
            <w:noWrap/>
            <w:vAlign w:val="center"/>
            <w:hideMark/>
          </w:tcPr>
          <w:p w14:paraId="09BD1D5D"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3 250,00</w:t>
            </w:r>
          </w:p>
        </w:tc>
        <w:tc>
          <w:tcPr>
            <w:tcW w:w="1200" w:type="dxa"/>
            <w:tcBorders>
              <w:top w:val="nil"/>
              <w:left w:val="nil"/>
              <w:bottom w:val="single" w:sz="4" w:space="0" w:color="auto"/>
              <w:right w:val="single" w:sz="4" w:space="0" w:color="auto"/>
            </w:tcBorders>
            <w:shd w:val="clear" w:color="auto" w:fill="auto"/>
            <w:noWrap/>
            <w:vAlign w:val="center"/>
            <w:hideMark/>
          </w:tcPr>
          <w:p w14:paraId="371C2E82"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2 000,00</w:t>
            </w:r>
          </w:p>
        </w:tc>
        <w:tc>
          <w:tcPr>
            <w:tcW w:w="1200" w:type="dxa"/>
            <w:tcBorders>
              <w:top w:val="nil"/>
              <w:left w:val="nil"/>
              <w:bottom w:val="single" w:sz="4" w:space="0" w:color="auto"/>
              <w:right w:val="single" w:sz="4" w:space="0" w:color="auto"/>
            </w:tcBorders>
            <w:shd w:val="clear" w:color="auto" w:fill="auto"/>
            <w:noWrap/>
            <w:vAlign w:val="center"/>
            <w:hideMark/>
          </w:tcPr>
          <w:p w14:paraId="4F311422"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-1 250,00</w:t>
            </w:r>
          </w:p>
        </w:tc>
        <w:tc>
          <w:tcPr>
            <w:tcW w:w="1540" w:type="dxa"/>
            <w:tcBorders>
              <w:top w:val="nil"/>
              <w:left w:val="nil"/>
              <w:bottom w:val="single" w:sz="4" w:space="0" w:color="auto"/>
              <w:right w:val="single" w:sz="4" w:space="0" w:color="auto"/>
            </w:tcBorders>
            <w:shd w:val="clear" w:color="auto" w:fill="auto"/>
            <w:noWrap/>
            <w:vAlign w:val="center"/>
            <w:hideMark/>
          </w:tcPr>
          <w:p w14:paraId="28DE2D33"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-38,46%</w:t>
            </w:r>
          </w:p>
        </w:tc>
        <w:tc>
          <w:tcPr>
            <w:tcW w:w="1200" w:type="dxa"/>
            <w:tcBorders>
              <w:top w:val="nil"/>
              <w:left w:val="nil"/>
              <w:bottom w:val="single" w:sz="4" w:space="0" w:color="auto"/>
              <w:right w:val="single" w:sz="4" w:space="0" w:color="auto"/>
            </w:tcBorders>
            <w:shd w:val="clear" w:color="auto" w:fill="auto"/>
            <w:noWrap/>
            <w:vAlign w:val="center"/>
            <w:hideMark/>
          </w:tcPr>
          <w:p w14:paraId="6E78D6FD"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27,01%</w:t>
            </w:r>
          </w:p>
        </w:tc>
      </w:tr>
      <w:tr w:rsidR="00E942D2" w:rsidRPr="00C93F6B" w14:paraId="20B3C9B6" w14:textId="77777777" w:rsidTr="00632215">
        <w:trPr>
          <w:trHeight w:val="51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777FA4D" w14:textId="77777777" w:rsidR="00E942D2" w:rsidRPr="00C93F6B" w:rsidRDefault="00E942D2" w:rsidP="00632215">
            <w:pPr>
              <w:rPr>
                <w:rFonts w:ascii="Calibri" w:eastAsia="Times New Roman" w:hAnsi="Calibri" w:cs="Calibri"/>
                <w:b/>
                <w:bCs/>
                <w:i/>
                <w:iCs/>
                <w:color w:val="000000"/>
                <w:sz w:val="20"/>
                <w:szCs w:val="20"/>
              </w:rPr>
            </w:pPr>
            <w:r w:rsidRPr="00C93F6B">
              <w:rPr>
                <w:rFonts w:ascii="Calibri" w:eastAsia="Times New Roman" w:hAnsi="Calibri" w:cs="Calibri"/>
                <w:b/>
                <w:bCs/>
                <w:i/>
                <w:iCs/>
                <w:color w:val="000000"/>
                <w:sz w:val="20"/>
                <w:szCs w:val="20"/>
              </w:rPr>
              <w:t>Dépenses d'investissement y compris les BAS</w:t>
            </w:r>
          </w:p>
        </w:tc>
        <w:tc>
          <w:tcPr>
            <w:tcW w:w="1200" w:type="dxa"/>
            <w:tcBorders>
              <w:top w:val="nil"/>
              <w:left w:val="nil"/>
              <w:bottom w:val="single" w:sz="4" w:space="0" w:color="auto"/>
              <w:right w:val="single" w:sz="4" w:space="0" w:color="auto"/>
            </w:tcBorders>
            <w:shd w:val="clear" w:color="auto" w:fill="auto"/>
            <w:noWrap/>
            <w:vAlign w:val="center"/>
            <w:hideMark/>
          </w:tcPr>
          <w:p w14:paraId="40CA2F4B" w14:textId="77777777" w:rsidR="00E942D2" w:rsidRPr="00C93F6B" w:rsidRDefault="00E942D2" w:rsidP="00632215">
            <w:pPr>
              <w:jc w:val="right"/>
              <w:rPr>
                <w:rFonts w:ascii="Calibri" w:eastAsia="Times New Roman" w:hAnsi="Calibri" w:cs="Calibri"/>
                <w:b/>
                <w:bCs/>
                <w:i/>
                <w:iCs/>
                <w:color w:val="000000"/>
                <w:sz w:val="20"/>
                <w:szCs w:val="20"/>
              </w:rPr>
            </w:pPr>
            <w:r w:rsidRPr="00C93F6B">
              <w:rPr>
                <w:rFonts w:ascii="Calibri" w:eastAsia="Times New Roman" w:hAnsi="Calibri" w:cs="Calibri"/>
                <w:b/>
                <w:bCs/>
                <w:i/>
                <w:iCs/>
                <w:color w:val="000000"/>
                <w:sz w:val="20"/>
                <w:szCs w:val="20"/>
              </w:rPr>
              <w:t>15 259,11</w:t>
            </w:r>
          </w:p>
        </w:tc>
        <w:tc>
          <w:tcPr>
            <w:tcW w:w="1200" w:type="dxa"/>
            <w:tcBorders>
              <w:top w:val="nil"/>
              <w:left w:val="nil"/>
              <w:bottom w:val="single" w:sz="4" w:space="0" w:color="auto"/>
              <w:right w:val="single" w:sz="4" w:space="0" w:color="auto"/>
            </w:tcBorders>
            <w:shd w:val="clear" w:color="auto" w:fill="auto"/>
            <w:noWrap/>
            <w:vAlign w:val="center"/>
            <w:hideMark/>
          </w:tcPr>
          <w:p w14:paraId="2785297D" w14:textId="77777777" w:rsidR="00E942D2" w:rsidRPr="00C93F6B" w:rsidRDefault="00E942D2" w:rsidP="00632215">
            <w:pPr>
              <w:jc w:val="right"/>
              <w:rPr>
                <w:rFonts w:ascii="Calibri" w:eastAsia="Times New Roman" w:hAnsi="Calibri" w:cs="Calibri"/>
                <w:b/>
                <w:bCs/>
                <w:i/>
                <w:iCs/>
                <w:color w:val="000000"/>
                <w:sz w:val="20"/>
                <w:szCs w:val="20"/>
              </w:rPr>
            </w:pPr>
            <w:r w:rsidRPr="00C93F6B">
              <w:rPr>
                <w:rFonts w:ascii="Calibri" w:eastAsia="Times New Roman" w:hAnsi="Calibri" w:cs="Calibri"/>
                <w:b/>
                <w:bCs/>
                <w:i/>
                <w:iCs/>
                <w:color w:val="000000"/>
                <w:sz w:val="20"/>
                <w:szCs w:val="20"/>
              </w:rPr>
              <w:t>15 480,35</w:t>
            </w:r>
          </w:p>
        </w:tc>
        <w:tc>
          <w:tcPr>
            <w:tcW w:w="1200" w:type="dxa"/>
            <w:tcBorders>
              <w:top w:val="nil"/>
              <w:left w:val="nil"/>
              <w:bottom w:val="single" w:sz="4" w:space="0" w:color="auto"/>
              <w:right w:val="single" w:sz="4" w:space="0" w:color="auto"/>
            </w:tcBorders>
            <w:shd w:val="clear" w:color="auto" w:fill="auto"/>
            <w:noWrap/>
            <w:vAlign w:val="center"/>
            <w:hideMark/>
          </w:tcPr>
          <w:p w14:paraId="3A9560B3" w14:textId="77777777" w:rsidR="00E942D2" w:rsidRPr="00C93F6B" w:rsidRDefault="00E942D2" w:rsidP="00632215">
            <w:pPr>
              <w:jc w:val="right"/>
              <w:rPr>
                <w:rFonts w:ascii="Calibri" w:eastAsia="Times New Roman" w:hAnsi="Calibri" w:cs="Calibri"/>
                <w:b/>
                <w:bCs/>
                <w:i/>
                <w:iCs/>
                <w:color w:val="000000"/>
                <w:sz w:val="20"/>
                <w:szCs w:val="20"/>
              </w:rPr>
            </w:pPr>
            <w:r w:rsidRPr="00C93F6B">
              <w:rPr>
                <w:rFonts w:ascii="Calibri" w:eastAsia="Times New Roman" w:hAnsi="Calibri" w:cs="Calibri"/>
                <w:b/>
                <w:bCs/>
                <w:i/>
                <w:iCs/>
                <w:color w:val="000000"/>
                <w:sz w:val="20"/>
                <w:szCs w:val="20"/>
              </w:rPr>
              <w:t>221,24</w:t>
            </w:r>
          </w:p>
        </w:tc>
        <w:tc>
          <w:tcPr>
            <w:tcW w:w="1540" w:type="dxa"/>
            <w:tcBorders>
              <w:top w:val="nil"/>
              <w:left w:val="nil"/>
              <w:bottom w:val="single" w:sz="4" w:space="0" w:color="auto"/>
              <w:right w:val="single" w:sz="4" w:space="0" w:color="auto"/>
            </w:tcBorders>
            <w:shd w:val="clear" w:color="auto" w:fill="auto"/>
            <w:noWrap/>
            <w:vAlign w:val="center"/>
            <w:hideMark/>
          </w:tcPr>
          <w:p w14:paraId="0FAB8706" w14:textId="77777777" w:rsidR="00E942D2" w:rsidRPr="00C93F6B" w:rsidRDefault="00E942D2" w:rsidP="00632215">
            <w:pPr>
              <w:jc w:val="center"/>
              <w:rPr>
                <w:rFonts w:ascii="Calibri" w:eastAsia="Times New Roman" w:hAnsi="Calibri" w:cs="Calibri"/>
                <w:b/>
                <w:bCs/>
                <w:i/>
                <w:iCs/>
                <w:color w:val="000000"/>
                <w:sz w:val="20"/>
                <w:szCs w:val="20"/>
              </w:rPr>
            </w:pPr>
            <w:r w:rsidRPr="00C93F6B">
              <w:rPr>
                <w:rFonts w:ascii="Calibri" w:eastAsia="Times New Roman" w:hAnsi="Calibri" w:cs="Calibri"/>
                <w:b/>
                <w:bCs/>
                <w:i/>
                <w:iCs/>
                <w:color w:val="000000"/>
                <w:sz w:val="20"/>
                <w:szCs w:val="20"/>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4267BC68" w14:textId="77777777" w:rsidR="00E942D2" w:rsidRPr="00C93F6B" w:rsidRDefault="00E942D2" w:rsidP="00632215">
            <w:pPr>
              <w:jc w:val="center"/>
              <w:rPr>
                <w:rFonts w:ascii="Calibri" w:eastAsia="Times New Roman" w:hAnsi="Calibri" w:cs="Calibri"/>
                <w:b/>
                <w:bCs/>
                <w:i/>
                <w:iCs/>
                <w:color w:val="000000"/>
                <w:sz w:val="20"/>
                <w:szCs w:val="20"/>
              </w:rPr>
            </w:pPr>
            <w:r w:rsidRPr="00C93F6B">
              <w:rPr>
                <w:rFonts w:ascii="Calibri" w:eastAsia="Times New Roman" w:hAnsi="Calibri" w:cs="Calibri"/>
                <w:b/>
                <w:bCs/>
                <w:i/>
                <w:iCs/>
                <w:color w:val="000000"/>
                <w:sz w:val="20"/>
                <w:szCs w:val="20"/>
              </w:rPr>
              <w:t>41,08%</w:t>
            </w:r>
          </w:p>
        </w:tc>
      </w:tr>
      <w:tr w:rsidR="00E942D2" w:rsidRPr="00C93F6B" w14:paraId="65979FFE" w14:textId="77777777" w:rsidTr="00632215">
        <w:trPr>
          <w:trHeight w:val="300"/>
        </w:trPr>
        <w:tc>
          <w:tcPr>
            <w:tcW w:w="3260" w:type="dxa"/>
            <w:tcBorders>
              <w:top w:val="nil"/>
              <w:left w:val="single" w:sz="4" w:space="0" w:color="auto"/>
              <w:bottom w:val="single" w:sz="4" w:space="0" w:color="auto"/>
              <w:right w:val="single" w:sz="4" w:space="0" w:color="auto"/>
            </w:tcBorders>
            <w:shd w:val="clear" w:color="000000" w:fill="E7E6E6"/>
            <w:vAlign w:val="center"/>
            <w:hideMark/>
          </w:tcPr>
          <w:p w14:paraId="2C4DFC1F" w14:textId="77777777" w:rsidR="00E942D2" w:rsidRPr="00C93F6B" w:rsidRDefault="00E942D2" w:rsidP="00632215">
            <w:pP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lastRenderedPageBreak/>
              <w:t>Dépenses d'investissement hors BAS</w:t>
            </w:r>
          </w:p>
        </w:tc>
        <w:tc>
          <w:tcPr>
            <w:tcW w:w="1200" w:type="dxa"/>
            <w:tcBorders>
              <w:top w:val="nil"/>
              <w:left w:val="nil"/>
              <w:bottom w:val="single" w:sz="4" w:space="0" w:color="auto"/>
              <w:right w:val="single" w:sz="4" w:space="0" w:color="auto"/>
            </w:tcBorders>
            <w:shd w:val="clear" w:color="000000" w:fill="E7E6E6"/>
            <w:noWrap/>
            <w:vAlign w:val="center"/>
            <w:hideMark/>
          </w:tcPr>
          <w:p w14:paraId="46CE0329"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14 429,42</w:t>
            </w:r>
          </w:p>
        </w:tc>
        <w:tc>
          <w:tcPr>
            <w:tcW w:w="1200" w:type="dxa"/>
            <w:tcBorders>
              <w:top w:val="nil"/>
              <w:left w:val="nil"/>
              <w:bottom w:val="single" w:sz="4" w:space="0" w:color="auto"/>
              <w:right w:val="single" w:sz="4" w:space="0" w:color="auto"/>
            </w:tcBorders>
            <w:shd w:val="clear" w:color="000000" w:fill="E7E6E6"/>
            <w:noWrap/>
            <w:vAlign w:val="center"/>
            <w:hideMark/>
          </w:tcPr>
          <w:p w14:paraId="685C03D3"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14 557,85</w:t>
            </w:r>
          </w:p>
        </w:tc>
        <w:tc>
          <w:tcPr>
            <w:tcW w:w="1200" w:type="dxa"/>
            <w:tcBorders>
              <w:top w:val="nil"/>
              <w:left w:val="nil"/>
              <w:bottom w:val="single" w:sz="4" w:space="0" w:color="auto"/>
              <w:right w:val="single" w:sz="4" w:space="0" w:color="auto"/>
            </w:tcBorders>
            <w:shd w:val="clear" w:color="000000" w:fill="E7E6E6"/>
            <w:noWrap/>
            <w:vAlign w:val="center"/>
            <w:hideMark/>
          </w:tcPr>
          <w:p w14:paraId="2D0B9DE1"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128,43</w:t>
            </w:r>
          </w:p>
        </w:tc>
        <w:tc>
          <w:tcPr>
            <w:tcW w:w="1540" w:type="dxa"/>
            <w:tcBorders>
              <w:top w:val="nil"/>
              <w:left w:val="nil"/>
              <w:bottom w:val="single" w:sz="4" w:space="0" w:color="auto"/>
              <w:right w:val="single" w:sz="4" w:space="0" w:color="auto"/>
            </w:tcBorders>
            <w:shd w:val="clear" w:color="000000" w:fill="E7E6E6"/>
            <w:noWrap/>
            <w:vAlign w:val="center"/>
            <w:hideMark/>
          </w:tcPr>
          <w:p w14:paraId="31B48D9E"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0,89%</w:t>
            </w:r>
          </w:p>
        </w:tc>
        <w:tc>
          <w:tcPr>
            <w:tcW w:w="1200" w:type="dxa"/>
            <w:tcBorders>
              <w:top w:val="nil"/>
              <w:left w:val="nil"/>
              <w:bottom w:val="single" w:sz="4" w:space="0" w:color="auto"/>
              <w:right w:val="single" w:sz="4" w:space="0" w:color="auto"/>
            </w:tcBorders>
            <w:shd w:val="clear" w:color="000000" w:fill="E7E6E6"/>
            <w:noWrap/>
            <w:vAlign w:val="center"/>
            <w:hideMark/>
          </w:tcPr>
          <w:p w14:paraId="76A9A7CF"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39,74%</w:t>
            </w:r>
          </w:p>
        </w:tc>
      </w:tr>
      <w:tr w:rsidR="00E942D2" w:rsidRPr="00C93F6B" w14:paraId="7AE880D8" w14:textId="77777777" w:rsidTr="00632215">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4E1AD6B" w14:textId="77777777" w:rsidR="00E942D2" w:rsidRPr="00C93F6B" w:rsidRDefault="00E942D2" w:rsidP="00632215">
            <w:pPr>
              <w:rPr>
                <w:rFonts w:ascii="Calibri" w:eastAsia="Times New Roman" w:hAnsi="Calibri" w:cs="Calibri"/>
                <w:color w:val="000000"/>
                <w:sz w:val="20"/>
                <w:szCs w:val="20"/>
              </w:rPr>
            </w:pPr>
            <w:r w:rsidRPr="00C93F6B">
              <w:rPr>
                <w:rFonts w:ascii="Calibri" w:eastAsia="Times New Roman" w:hAnsi="Calibri" w:cs="Calibri"/>
                <w:color w:val="000000"/>
                <w:sz w:val="20"/>
                <w:szCs w:val="20"/>
              </w:rPr>
              <w:t>Dépenses Projets et Programmes</w:t>
            </w:r>
          </w:p>
        </w:tc>
        <w:tc>
          <w:tcPr>
            <w:tcW w:w="1200" w:type="dxa"/>
            <w:tcBorders>
              <w:top w:val="nil"/>
              <w:left w:val="nil"/>
              <w:bottom w:val="single" w:sz="4" w:space="0" w:color="auto"/>
              <w:right w:val="single" w:sz="4" w:space="0" w:color="auto"/>
            </w:tcBorders>
            <w:shd w:val="clear" w:color="auto" w:fill="auto"/>
            <w:noWrap/>
            <w:vAlign w:val="center"/>
            <w:hideMark/>
          </w:tcPr>
          <w:p w14:paraId="60C682B0"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12 621,42</w:t>
            </w:r>
          </w:p>
        </w:tc>
        <w:tc>
          <w:tcPr>
            <w:tcW w:w="1200" w:type="dxa"/>
            <w:tcBorders>
              <w:top w:val="nil"/>
              <w:left w:val="nil"/>
              <w:bottom w:val="single" w:sz="4" w:space="0" w:color="auto"/>
              <w:right w:val="single" w:sz="4" w:space="0" w:color="auto"/>
            </w:tcBorders>
            <w:shd w:val="clear" w:color="auto" w:fill="auto"/>
            <w:noWrap/>
            <w:vAlign w:val="center"/>
            <w:hideMark/>
          </w:tcPr>
          <w:p w14:paraId="3A908935"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13 112,22</w:t>
            </w:r>
          </w:p>
        </w:tc>
        <w:tc>
          <w:tcPr>
            <w:tcW w:w="1200" w:type="dxa"/>
            <w:tcBorders>
              <w:top w:val="nil"/>
              <w:left w:val="nil"/>
              <w:bottom w:val="single" w:sz="4" w:space="0" w:color="auto"/>
              <w:right w:val="single" w:sz="4" w:space="0" w:color="auto"/>
            </w:tcBorders>
            <w:shd w:val="clear" w:color="auto" w:fill="auto"/>
            <w:noWrap/>
            <w:vAlign w:val="center"/>
            <w:hideMark/>
          </w:tcPr>
          <w:p w14:paraId="55EC85FA"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490,8</w:t>
            </w:r>
          </w:p>
        </w:tc>
        <w:tc>
          <w:tcPr>
            <w:tcW w:w="1540" w:type="dxa"/>
            <w:tcBorders>
              <w:top w:val="nil"/>
              <w:left w:val="nil"/>
              <w:bottom w:val="single" w:sz="4" w:space="0" w:color="auto"/>
              <w:right w:val="single" w:sz="4" w:space="0" w:color="auto"/>
            </w:tcBorders>
            <w:shd w:val="clear" w:color="auto" w:fill="auto"/>
            <w:noWrap/>
            <w:vAlign w:val="center"/>
            <w:hideMark/>
          </w:tcPr>
          <w:p w14:paraId="6DDCABD9"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3,89%</w:t>
            </w:r>
          </w:p>
        </w:tc>
        <w:tc>
          <w:tcPr>
            <w:tcW w:w="1200" w:type="dxa"/>
            <w:tcBorders>
              <w:top w:val="nil"/>
              <w:left w:val="nil"/>
              <w:bottom w:val="single" w:sz="4" w:space="0" w:color="auto"/>
              <w:right w:val="single" w:sz="4" w:space="0" w:color="auto"/>
            </w:tcBorders>
            <w:shd w:val="clear" w:color="auto" w:fill="auto"/>
            <w:noWrap/>
            <w:vAlign w:val="center"/>
            <w:hideMark/>
          </w:tcPr>
          <w:p w14:paraId="45B9907A"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90,07%</w:t>
            </w:r>
          </w:p>
        </w:tc>
      </w:tr>
      <w:tr w:rsidR="00E942D2" w:rsidRPr="00C93F6B" w14:paraId="58891C82" w14:textId="77777777" w:rsidTr="00632215">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A3C738"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 xml:space="preserve">     dont FINEX</w:t>
            </w:r>
          </w:p>
        </w:tc>
        <w:tc>
          <w:tcPr>
            <w:tcW w:w="1200" w:type="dxa"/>
            <w:tcBorders>
              <w:top w:val="nil"/>
              <w:left w:val="nil"/>
              <w:bottom w:val="single" w:sz="4" w:space="0" w:color="auto"/>
              <w:right w:val="single" w:sz="4" w:space="0" w:color="auto"/>
            </w:tcBorders>
            <w:shd w:val="clear" w:color="auto" w:fill="auto"/>
            <w:noWrap/>
            <w:vAlign w:val="center"/>
            <w:hideMark/>
          </w:tcPr>
          <w:p w14:paraId="5A1E86C9"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6 949,70</w:t>
            </w:r>
          </w:p>
        </w:tc>
        <w:tc>
          <w:tcPr>
            <w:tcW w:w="1200" w:type="dxa"/>
            <w:tcBorders>
              <w:top w:val="nil"/>
              <w:left w:val="nil"/>
              <w:bottom w:val="single" w:sz="4" w:space="0" w:color="auto"/>
              <w:right w:val="single" w:sz="4" w:space="0" w:color="auto"/>
            </w:tcBorders>
            <w:shd w:val="clear" w:color="auto" w:fill="auto"/>
            <w:noWrap/>
            <w:vAlign w:val="center"/>
            <w:hideMark/>
          </w:tcPr>
          <w:p w14:paraId="6025A5E2"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7 482,00</w:t>
            </w:r>
          </w:p>
        </w:tc>
        <w:tc>
          <w:tcPr>
            <w:tcW w:w="1200" w:type="dxa"/>
            <w:tcBorders>
              <w:top w:val="nil"/>
              <w:left w:val="nil"/>
              <w:bottom w:val="single" w:sz="4" w:space="0" w:color="auto"/>
              <w:right w:val="single" w:sz="4" w:space="0" w:color="auto"/>
            </w:tcBorders>
            <w:shd w:val="clear" w:color="auto" w:fill="auto"/>
            <w:noWrap/>
            <w:vAlign w:val="center"/>
            <w:hideMark/>
          </w:tcPr>
          <w:p w14:paraId="1F59B947"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532,3</w:t>
            </w:r>
          </w:p>
        </w:tc>
        <w:tc>
          <w:tcPr>
            <w:tcW w:w="1540" w:type="dxa"/>
            <w:tcBorders>
              <w:top w:val="nil"/>
              <w:left w:val="nil"/>
              <w:bottom w:val="single" w:sz="4" w:space="0" w:color="auto"/>
              <w:right w:val="single" w:sz="4" w:space="0" w:color="auto"/>
            </w:tcBorders>
            <w:shd w:val="clear" w:color="auto" w:fill="auto"/>
            <w:noWrap/>
            <w:vAlign w:val="center"/>
            <w:hideMark/>
          </w:tcPr>
          <w:p w14:paraId="50259B07"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7,66%</w:t>
            </w:r>
          </w:p>
        </w:tc>
        <w:tc>
          <w:tcPr>
            <w:tcW w:w="1200" w:type="dxa"/>
            <w:tcBorders>
              <w:top w:val="nil"/>
              <w:left w:val="nil"/>
              <w:bottom w:val="single" w:sz="4" w:space="0" w:color="auto"/>
              <w:right w:val="single" w:sz="4" w:space="0" w:color="auto"/>
            </w:tcBorders>
            <w:shd w:val="clear" w:color="auto" w:fill="auto"/>
            <w:noWrap/>
            <w:vAlign w:val="center"/>
            <w:hideMark/>
          </w:tcPr>
          <w:p w14:paraId="4DB94B43"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57,06%</w:t>
            </w:r>
          </w:p>
        </w:tc>
      </w:tr>
      <w:tr w:rsidR="00E942D2" w:rsidRPr="00C93F6B" w14:paraId="4B982406" w14:textId="77777777" w:rsidTr="00632215">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F1798E5" w14:textId="77777777" w:rsidR="00E942D2" w:rsidRPr="00C93F6B" w:rsidRDefault="00E942D2" w:rsidP="00632215">
            <w:pPr>
              <w:rPr>
                <w:rFonts w:ascii="Calibri" w:eastAsia="Times New Roman" w:hAnsi="Calibri" w:cs="Calibri"/>
                <w:color w:val="000000"/>
                <w:sz w:val="20"/>
                <w:szCs w:val="20"/>
              </w:rPr>
            </w:pPr>
            <w:r w:rsidRPr="00C93F6B">
              <w:rPr>
                <w:rFonts w:ascii="Calibri" w:eastAsia="Times New Roman" w:hAnsi="Calibri" w:cs="Calibri"/>
                <w:color w:val="000000"/>
                <w:sz w:val="20"/>
                <w:szCs w:val="20"/>
              </w:rPr>
              <w:t>Acquisitions hors Projets</w:t>
            </w:r>
          </w:p>
        </w:tc>
        <w:tc>
          <w:tcPr>
            <w:tcW w:w="1200" w:type="dxa"/>
            <w:tcBorders>
              <w:top w:val="nil"/>
              <w:left w:val="nil"/>
              <w:bottom w:val="single" w:sz="4" w:space="0" w:color="auto"/>
              <w:right w:val="single" w:sz="4" w:space="0" w:color="auto"/>
            </w:tcBorders>
            <w:shd w:val="clear" w:color="auto" w:fill="auto"/>
            <w:noWrap/>
            <w:vAlign w:val="center"/>
            <w:hideMark/>
          </w:tcPr>
          <w:p w14:paraId="675151B8"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1 808</w:t>
            </w:r>
          </w:p>
        </w:tc>
        <w:tc>
          <w:tcPr>
            <w:tcW w:w="1200" w:type="dxa"/>
            <w:tcBorders>
              <w:top w:val="nil"/>
              <w:left w:val="nil"/>
              <w:bottom w:val="single" w:sz="4" w:space="0" w:color="auto"/>
              <w:right w:val="single" w:sz="4" w:space="0" w:color="auto"/>
            </w:tcBorders>
            <w:shd w:val="clear" w:color="auto" w:fill="auto"/>
            <w:noWrap/>
            <w:vAlign w:val="center"/>
            <w:hideMark/>
          </w:tcPr>
          <w:p w14:paraId="35B8F974"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1 445,63</w:t>
            </w:r>
          </w:p>
        </w:tc>
        <w:tc>
          <w:tcPr>
            <w:tcW w:w="1200" w:type="dxa"/>
            <w:tcBorders>
              <w:top w:val="nil"/>
              <w:left w:val="nil"/>
              <w:bottom w:val="single" w:sz="4" w:space="0" w:color="auto"/>
              <w:right w:val="single" w:sz="4" w:space="0" w:color="auto"/>
            </w:tcBorders>
            <w:shd w:val="clear" w:color="auto" w:fill="auto"/>
            <w:noWrap/>
            <w:vAlign w:val="center"/>
            <w:hideMark/>
          </w:tcPr>
          <w:p w14:paraId="1446A96A" w14:textId="77777777" w:rsidR="00E942D2" w:rsidRPr="00C93F6B" w:rsidRDefault="00E942D2" w:rsidP="00632215">
            <w:pPr>
              <w:jc w:val="right"/>
              <w:rPr>
                <w:rFonts w:ascii="Calibri" w:eastAsia="Times New Roman" w:hAnsi="Calibri" w:cs="Calibri"/>
                <w:color w:val="000000"/>
                <w:sz w:val="20"/>
                <w:szCs w:val="20"/>
              </w:rPr>
            </w:pPr>
            <w:r w:rsidRPr="00C93F6B">
              <w:rPr>
                <w:rFonts w:ascii="Calibri" w:eastAsia="Times New Roman" w:hAnsi="Calibri" w:cs="Calibri"/>
                <w:color w:val="000000"/>
                <w:sz w:val="20"/>
                <w:szCs w:val="20"/>
              </w:rPr>
              <w:t>-362,37</w:t>
            </w:r>
          </w:p>
        </w:tc>
        <w:tc>
          <w:tcPr>
            <w:tcW w:w="1540" w:type="dxa"/>
            <w:tcBorders>
              <w:top w:val="nil"/>
              <w:left w:val="nil"/>
              <w:bottom w:val="single" w:sz="4" w:space="0" w:color="auto"/>
              <w:right w:val="single" w:sz="4" w:space="0" w:color="auto"/>
            </w:tcBorders>
            <w:shd w:val="clear" w:color="auto" w:fill="auto"/>
            <w:noWrap/>
            <w:vAlign w:val="center"/>
            <w:hideMark/>
          </w:tcPr>
          <w:p w14:paraId="75DE0BEA"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-20,04%</w:t>
            </w:r>
          </w:p>
        </w:tc>
        <w:tc>
          <w:tcPr>
            <w:tcW w:w="1200" w:type="dxa"/>
            <w:tcBorders>
              <w:top w:val="nil"/>
              <w:left w:val="nil"/>
              <w:bottom w:val="single" w:sz="4" w:space="0" w:color="auto"/>
              <w:right w:val="single" w:sz="4" w:space="0" w:color="auto"/>
            </w:tcBorders>
            <w:shd w:val="clear" w:color="auto" w:fill="auto"/>
            <w:noWrap/>
            <w:vAlign w:val="center"/>
            <w:hideMark/>
          </w:tcPr>
          <w:p w14:paraId="627C09FD"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9,93%</w:t>
            </w:r>
          </w:p>
        </w:tc>
      </w:tr>
      <w:tr w:rsidR="00E942D2" w:rsidRPr="00C93F6B" w14:paraId="10D7019A" w14:textId="77777777" w:rsidTr="00632215">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AAD059"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 xml:space="preserve">    dont Fonds d'Entretien Routier (FER)</w:t>
            </w:r>
          </w:p>
        </w:tc>
        <w:tc>
          <w:tcPr>
            <w:tcW w:w="1200" w:type="dxa"/>
            <w:tcBorders>
              <w:top w:val="nil"/>
              <w:left w:val="nil"/>
              <w:bottom w:val="single" w:sz="4" w:space="0" w:color="auto"/>
              <w:right w:val="single" w:sz="4" w:space="0" w:color="auto"/>
            </w:tcBorders>
            <w:shd w:val="clear" w:color="auto" w:fill="auto"/>
            <w:noWrap/>
            <w:vAlign w:val="center"/>
            <w:hideMark/>
          </w:tcPr>
          <w:p w14:paraId="0207BBD4"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524,16</w:t>
            </w:r>
          </w:p>
        </w:tc>
        <w:tc>
          <w:tcPr>
            <w:tcW w:w="1200" w:type="dxa"/>
            <w:tcBorders>
              <w:top w:val="nil"/>
              <w:left w:val="nil"/>
              <w:bottom w:val="single" w:sz="4" w:space="0" w:color="auto"/>
              <w:right w:val="single" w:sz="4" w:space="0" w:color="auto"/>
            </w:tcBorders>
            <w:shd w:val="clear" w:color="auto" w:fill="auto"/>
            <w:noWrap/>
            <w:vAlign w:val="center"/>
            <w:hideMark/>
          </w:tcPr>
          <w:p w14:paraId="7DBD7127"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557,87</w:t>
            </w:r>
          </w:p>
        </w:tc>
        <w:tc>
          <w:tcPr>
            <w:tcW w:w="1200" w:type="dxa"/>
            <w:tcBorders>
              <w:top w:val="nil"/>
              <w:left w:val="nil"/>
              <w:bottom w:val="single" w:sz="4" w:space="0" w:color="auto"/>
              <w:right w:val="single" w:sz="4" w:space="0" w:color="auto"/>
            </w:tcBorders>
            <w:shd w:val="clear" w:color="auto" w:fill="auto"/>
            <w:noWrap/>
            <w:vAlign w:val="center"/>
            <w:hideMark/>
          </w:tcPr>
          <w:p w14:paraId="67AAEDC3"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33,71</w:t>
            </w:r>
          </w:p>
        </w:tc>
        <w:tc>
          <w:tcPr>
            <w:tcW w:w="1540" w:type="dxa"/>
            <w:tcBorders>
              <w:top w:val="nil"/>
              <w:left w:val="nil"/>
              <w:bottom w:val="single" w:sz="4" w:space="0" w:color="auto"/>
              <w:right w:val="single" w:sz="4" w:space="0" w:color="auto"/>
            </w:tcBorders>
            <w:shd w:val="clear" w:color="auto" w:fill="auto"/>
            <w:noWrap/>
            <w:vAlign w:val="center"/>
            <w:hideMark/>
          </w:tcPr>
          <w:p w14:paraId="237047B4"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6,43%</w:t>
            </w:r>
          </w:p>
        </w:tc>
        <w:tc>
          <w:tcPr>
            <w:tcW w:w="1200" w:type="dxa"/>
            <w:tcBorders>
              <w:top w:val="nil"/>
              <w:left w:val="nil"/>
              <w:bottom w:val="single" w:sz="4" w:space="0" w:color="auto"/>
              <w:right w:val="single" w:sz="4" w:space="0" w:color="auto"/>
            </w:tcBorders>
            <w:shd w:val="clear" w:color="auto" w:fill="auto"/>
            <w:noWrap/>
            <w:vAlign w:val="center"/>
            <w:hideMark/>
          </w:tcPr>
          <w:p w14:paraId="257B9384" w14:textId="77777777" w:rsidR="00E942D2" w:rsidRPr="00C93F6B" w:rsidRDefault="00E942D2" w:rsidP="00632215">
            <w:pPr>
              <w:jc w:val="center"/>
              <w:rPr>
                <w:rFonts w:ascii="Calibri" w:eastAsia="Times New Roman" w:hAnsi="Calibri" w:cs="Calibri"/>
                <w:color w:val="000000"/>
                <w:sz w:val="20"/>
                <w:szCs w:val="20"/>
              </w:rPr>
            </w:pPr>
            <w:r w:rsidRPr="00C93F6B">
              <w:rPr>
                <w:rFonts w:ascii="Calibri" w:eastAsia="Times New Roman" w:hAnsi="Calibri" w:cs="Calibri"/>
                <w:color w:val="000000"/>
                <w:sz w:val="20"/>
                <w:szCs w:val="20"/>
              </w:rPr>
              <w:t>38,59%</w:t>
            </w:r>
          </w:p>
        </w:tc>
      </w:tr>
      <w:tr w:rsidR="00E942D2" w:rsidRPr="00C93F6B" w14:paraId="59EF722E" w14:textId="77777777" w:rsidTr="006333CC">
        <w:trPr>
          <w:trHeight w:val="300"/>
        </w:trPr>
        <w:tc>
          <w:tcPr>
            <w:tcW w:w="3260" w:type="dxa"/>
            <w:tcBorders>
              <w:top w:val="nil"/>
              <w:left w:val="single" w:sz="4" w:space="0" w:color="auto"/>
              <w:bottom w:val="single" w:sz="4" w:space="0" w:color="auto"/>
              <w:right w:val="single" w:sz="4" w:space="0" w:color="auto"/>
            </w:tcBorders>
            <w:shd w:val="clear" w:color="000000" w:fill="D5DCE4"/>
            <w:vAlign w:val="center"/>
            <w:hideMark/>
          </w:tcPr>
          <w:p w14:paraId="236531D6" w14:textId="77777777" w:rsidR="00E942D2" w:rsidRPr="00C93F6B" w:rsidRDefault="00E942D2" w:rsidP="00632215">
            <w:pP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Budgets d'Affection Spéciale</w:t>
            </w:r>
          </w:p>
        </w:tc>
        <w:tc>
          <w:tcPr>
            <w:tcW w:w="1200" w:type="dxa"/>
            <w:tcBorders>
              <w:top w:val="nil"/>
              <w:left w:val="nil"/>
              <w:bottom w:val="single" w:sz="4" w:space="0" w:color="auto"/>
              <w:right w:val="single" w:sz="4" w:space="0" w:color="auto"/>
            </w:tcBorders>
            <w:shd w:val="clear" w:color="000000" w:fill="D5DCE4"/>
            <w:noWrap/>
            <w:vAlign w:val="center"/>
            <w:hideMark/>
          </w:tcPr>
          <w:p w14:paraId="7C359DC1"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1 197,15</w:t>
            </w:r>
          </w:p>
        </w:tc>
        <w:tc>
          <w:tcPr>
            <w:tcW w:w="1200" w:type="dxa"/>
            <w:tcBorders>
              <w:top w:val="nil"/>
              <w:left w:val="nil"/>
              <w:bottom w:val="single" w:sz="4" w:space="0" w:color="auto"/>
              <w:right w:val="single" w:sz="4" w:space="0" w:color="auto"/>
            </w:tcBorders>
            <w:shd w:val="clear" w:color="000000" w:fill="D5DCE4"/>
            <w:noWrap/>
            <w:vAlign w:val="center"/>
            <w:hideMark/>
          </w:tcPr>
          <w:p w14:paraId="2FF1EC1A"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1 048,63</w:t>
            </w:r>
          </w:p>
        </w:tc>
        <w:tc>
          <w:tcPr>
            <w:tcW w:w="1200" w:type="dxa"/>
            <w:tcBorders>
              <w:top w:val="nil"/>
              <w:left w:val="nil"/>
              <w:bottom w:val="single" w:sz="4" w:space="0" w:color="auto"/>
              <w:right w:val="single" w:sz="4" w:space="0" w:color="auto"/>
            </w:tcBorders>
            <w:shd w:val="clear" w:color="000000" w:fill="D5DCE4"/>
            <w:noWrap/>
            <w:vAlign w:val="center"/>
            <w:hideMark/>
          </w:tcPr>
          <w:p w14:paraId="6EFB6601" w14:textId="77777777" w:rsidR="00E942D2" w:rsidRPr="00C93F6B" w:rsidRDefault="00E942D2" w:rsidP="00632215">
            <w:pPr>
              <w:jc w:val="right"/>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-148,52</w:t>
            </w:r>
          </w:p>
        </w:tc>
        <w:tc>
          <w:tcPr>
            <w:tcW w:w="1540" w:type="dxa"/>
            <w:tcBorders>
              <w:top w:val="nil"/>
              <w:left w:val="nil"/>
              <w:bottom w:val="single" w:sz="4" w:space="0" w:color="auto"/>
              <w:right w:val="single" w:sz="4" w:space="0" w:color="auto"/>
            </w:tcBorders>
            <w:shd w:val="clear" w:color="000000" w:fill="D5DCE4"/>
            <w:noWrap/>
            <w:vAlign w:val="center"/>
            <w:hideMark/>
          </w:tcPr>
          <w:p w14:paraId="3D8515EC"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-12,41%</w:t>
            </w:r>
          </w:p>
        </w:tc>
        <w:tc>
          <w:tcPr>
            <w:tcW w:w="1200" w:type="dxa"/>
            <w:tcBorders>
              <w:top w:val="nil"/>
              <w:left w:val="nil"/>
              <w:bottom w:val="single" w:sz="4" w:space="0" w:color="auto"/>
              <w:right w:val="single" w:sz="4" w:space="0" w:color="auto"/>
            </w:tcBorders>
            <w:shd w:val="clear" w:color="000000" w:fill="D5DCE4"/>
            <w:noWrap/>
            <w:vAlign w:val="center"/>
            <w:hideMark/>
          </w:tcPr>
          <w:p w14:paraId="35A6C565" w14:textId="77777777" w:rsidR="00E942D2" w:rsidRPr="00C93F6B" w:rsidRDefault="00E942D2" w:rsidP="00632215">
            <w:pPr>
              <w:jc w:val="center"/>
              <w:rPr>
                <w:rFonts w:ascii="Calibri" w:eastAsia="Times New Roman" w:hAnsi="Calibri" w:cs="Calibri"/>
                <w:b/>
                <w:bCs/>
                <w:color w:val="000000"/>
                <w:sz w:val="20"/>
                <w:szCs w:val="20"/>
              </w:rPr>
            </w:pPr>
            <w:r w:rsidRPr="00C93F6B">
              <w:rPr>
                <w:rFonts w:ascii="Calibri" w:eastAsia="Times New Roman" w:hAnsi="Calibri" w:cs="Calibri"/>
                <w:b/>
                <w:bCs/>
                <w:color w:val="000000"/>
                <w:sz w:val="20"/>
                <w:szCs w:val="20"/>
              </w:rPr>
              <w:t>2,78%</w:t>
            </w:r>
          </w:p>
        </w:tc>
      </w:tr>
      <w:tr w:rsidR="00E942D2" w:rsidRPr="00C93F6B" w14:paraId="2DEA34A1" w14:textId="77777777" w:rsidTr="006333C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3B48"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FNDL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1A90"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429,99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6E540"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460,94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5810C"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30,95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47710"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7,20%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86227"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43,96%</w:t>
            </w:r>
          </w:p>
        </w:tc>
      </w:tr>
      <w:tr w:rsidR="00E942D2" w:rsidRPr="00C93F6B" w14:paraId="1996FC23" w14:textId="77777777" w:rsidTr="006333C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1E2C1"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FODECCON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4BD90"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256,37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00AD"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307,91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ABA3"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51,54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6E4C"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20,10%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8418A"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29,36%</w:t>
            </w:r>
          </w:p>
        </w:tc>
      </w:tr>
      <w:tr w:rsidR="00E942D2" w:rsidRPr="00C93F6B" w14:paraId="28DFE9BE" w14:textId="77777777" w:rsidTr="006333C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9C9C"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FIM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FAF8"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143,33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BDF6"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153,65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2CE2"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10,32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9B84"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7,20%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E063"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14,65%</w:t>
            </w:r>
          </w:p>
        </w:tc>
      </w:tr>
      <w:tr w:rsidR="00E942D2" w:rsidRPr="00C93F6B" w14:paraId="4B16E65E" w14:textId="77777777" w:rsidTr="006333C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E535" w14:textId="77777777" w:rsidR="00E942D2" w:rsidRPr="00C93F6B" w:rsidRDefault="00E942D2" w:rsidP="00632215">
            <w:pP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FCE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EB28"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367,46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39E"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126,13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1B86E" w14:textId="77777777" w:rsidR="00E942D2" w:rsidRPr="00C93F6B" w:rsidRDefault="00E942D2" w:rsidP="00632215">
            <w:pPr>
              <w:jc w:val="right"/>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-241,33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1A3F"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-65,68%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A4E6" w14:textId="77777777" w:rsidR="00E942D2" w:rsidRPr="00C93F6B" w:rsidRDefault="00E942D2" w:rsidP="00632215">
            <w:pPr>
              <w:jc w:val="center"/>
              <w:rPr>
                <w:rFonts w:ascii="Calibri" w:eastAsia="Times New Roman" w:hAnsi="Calibri" w:cs="Calibri"/>
                <w:i/>
                <w:iCs/>
                <w:color w:val="000000"/>
                <w:sz w:val="20"/>
                <w:szCs w:val="20"/>
              </w:rPr>
            </w:pPr>
            <w:r w:rsidRPr="00C93F6B">
              <w:rPr>
                <w:rFonts w:ascii="Calibri" w:eastAsia="Times New Roman" w:hAnsi="Calibri" w:cs="Calibri"/>
                <w:i/>
                <w:iCs/>
                <w:color w:val="000000"/>
                <w:sz w:val="20"/>
                <w:szCs w:val="20"/>
              </w:rPr>
              <w:t>12,03%</w:t>
            </w:r>
          </w:p>
        </w:tc>
      </w:tr>
    </w:tbl>
    <w:p w14:paraId="489083AF" w14:textId="77777777" w:rsidR="00E942D2" w:rsidRPr="002A5D07" w:rsidRDefault="00E942D2" w:rsidP="00E942D2">
      <w:pPr>
        <w:jc w:val="both"/>
        <w:rPr>
          <w:rFonts w:ascii="-webkit-standard" w:hAnsi="-webkit-standard" w:cs="Times New Roman"/>
          <w:color w:val="FF0000"/>
          <w:sz w:val="27"/>
          <w:szCs w:val="27"/>
        </w:rPr>
      </w:pPr>
      <w:r w:rsidRPr="002A5D07">
        <w:rPr>
          <w:rFonts w:ascii="-webkit-standard" w:hAnsi="-webkit-standard" w:cs="Times New Roman"/>
          <w:color w:val="FF0000"/>
          <w:sz w:val="27"/>
          <w:szCs w:val="27"/>
        </w:rPr>
        <w:t> </w:t>
      </w:r>
    </w:p>
    <w:p w14:paraId="29F5B136" w14:textId="3B5C48F1" w:rsidR="00E942D2" w:rsidRPr="006333CC" w:rsidRDefault="00E942D2" w:rsidP="00326A6C">
      <w:pPr>
        <w:ind w:right="15"/>
        <w:jc w:val="both"/>
        <w:rPr>
          <w:rFonts w:ascii="Times New Roman" w:hAnsi="Times New Roman" w:cs="Times New Roman"/>
          <w:color w:val="000000"/>
          <w:sz w:val="28"/>
          <w:szCs w:val="28"/>
        </w:rPr>
      </w:pPr>
      <w:r w:rsidRPr="006333CC">
        <w:rPr>
          <w:rFonts w:ascii="Times New Roman" w:hAnsi="Times New Roman" w:cs="Times New Roman"/>
          <w:color w:val="FF0000"/>
          <w:sz w:val="28"/>
          <w:szCs w:val="28"/>
        </w:rPr>
        <w:t> </w:t>
      </w:r>
      <w:r w:rsidRPr="006333CC">
        <w:rPr>
          <w:rFonts w:ascii="Times New Roman" w:hAnsi="Times New Roman" w:cs="Times New Roman"/>
          <w:color w:val="000000"/>
          <w:sz w:val="28"/>
          <w:szCs w:val="28"/>
        </w:rPr>
        <w:t>L’augmentation des dépenses de 433,13 Mds par rapport à 2023</w:t>
      </w:r>
      <w:r w:rsidR="00896ED3" w:rsidRPr="006333CC">
        <w:rPr>
          <w:rFonts w:ascii="Times New Roman" w:hAnsi="Times New Roman" w:cs="Times New Roman"/>
          <w:color w:val="000000"/>
          <w:sz w:val="28"/>
          <w:szCs w:val="28"/>
        </w:rPr>
        <w:t>,</w:t>
      </w:r>
      <w:r w:rsidRPr="006333CC">
        <w:rPr>
          <w:rFonts w:ascii="Times New Roman" w:hAnsi="Times New Roman" w:cs="Times New Roman"/>
          <w:color w:val="000000"/>
          <w:sz w:val="28"/>
          <w:szCs w:val="28"/>
        </w:rPr>
        <w:t xml:space="preserve"> est imputable aux dépenses courantes pour 453,22 Mds (2,10%)</w:t>
      </w:r>
      <w:r w:rsidR="001573E7" w:rsidRPr="006333CC">
        <w:rPr>
          <w:rFonts w:ascii="Times New Roman" w:hAnsi="Times New Roman" w:cs="Times New Roman"/>
          <w:color w:val="000000"/>
          <w:sz w:val="28"/>
          <w:szCs w:val="28"/>
        </w:rPr>
        <w:t>.</w:t>
      </w:r>
      <w:r w:rsidR="00896ED3" w:rsidRPr="006333CC">
        <w:rPr>
          <w:rFonts w:ascii="Times New Roman" w:hAnsi="Times New Roman" w:cs="Times New Roman"/>
          <w:color w:val="000000"/>
          <w:sz w:val="28"/>
          <w:szCs w:val="28"/>
        </w:rPr>
        <w:t xml:space="preserve"> </w:t>
      </w:r>
      <w:r w:rsidR="001573E7" w:rsidRPr="006333CC">
        <w:rPr>
          <w:rFonts w:ascii="Times New Roman" w:hAnsi="Times New Roman" w:cs="Times New Roman"/>
          <w:color w:val="000000"/>
          <w:sz w:val="28"/>
          <w:szCs w:val="28"/>
        </w:rPr>
        <w:t>E</w:t>
      </w:r>
      <w:r w:rsidR="00896ED3" w:rsidRPr="006333CC">
        <w:rPr>
          <w:rFonts w:ascii="Times New Roman" w:hAnsi="Times New Roman" w:cs="Times New Roman"/>
          <w:color w:val="000000"/>
          <w:sz w:val="28"/>
          <w:szCs w:val="28"/>
        </w:rPr>
        <w:t>lle est</w:t>
      </w:r>
      <w:r w:rsidRPr="006333CC">
        <w:rPr>
          <w:rFonts w:ascii="Times New Roman" w:hAnsi="Times New Roman" w:cs="Times New Roman"/>
          <w:color w:val="000000"/>
          <w:sz w:val="28"/>
          <w:szCs w:val="28"/>
        </w:rPr>
        <w:t xml:space="preserve"> atténuée par la légère baisse des dépenses d’investissement y compris les BAS pour 20,09 Mds (-0,13%). Cette baisse s’explique par la réduction des dépenses du BAS Fonds Commun de l’Education pour 241,33 Mds.</w:t>
      </w:r>
    </w:p>
    <w:p w14:paraId="6EDEC529" w14:textId="77777777" w:rsidR="00E942D2" w:rsidRPr="006333CC" w:rsidRDefault="00E942D2" w:rsidP="00E858A7">
      <w:pPr>
        <w:pStyle w:val="Titre3"/>
        <w:numPr>
          <w:ilvl w:val="0"/>
          <w:numId w:val="1"/>
        </w:numPr>
        <w:ind w:left="-113" w:right="-113" w:firstLine="113"/>
        <w:jc w:val="both"/>
        <w:rPr>
          <w:rFonts w:ascii="Times New Roman" w:hAnsi="Times New Roman"/>
          <w:b/>
          <w:color w:val="auto"/>
          <w:sz w:val="28"/>
          <w:szCs w:val="28"/>
        </w:rPr>
      </w:pPr>
      <w:bookmarkStart w:id="2" w:name="_Toc523070903"/>
      <w:r w:rsidRPr="006333CC">
        <w:rPr>
          <w:rFonts w:ascii="Times New Roman" w:hAnsi="Times New Roman"/>
          <w:b/>
          <w:color w:val="auto"/>
          <w:sz w:val="28"/>
          <w:szCs w:val="28"/>
        </w:rPr>
        <w:t>Dépenses courantes </w:t>
      </w:r>
      <w:bookmarkEnd w:id="2"/>
    </w:p>
    <w:p w14:paraId="733EAB01" w14:textId="5E67204A"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Les dépenses courantes ont été projetées à 22 076,10 Mds</w:t>
      </w:r>
      <w:r w:rsidR="001573E7" w:rsidRPr="006333CC">
        <w:rPr>
          <w:rFonts w:ascii="Times New Roman" w:hAnsi="Times New Roman" w:cs="Times New Roman"/>
          <w:color w:val="000000"/>
          <w:sz w:val="28"/>
          <w:szCs w:val="28"/>
        </w:rPr>
        <w:t>,</w:t>
      </w:r>
      <w:r w:rsidRPr="006333CC">
        <w:rPr>
          <w:rFonts w:ascii="Times New Roman" w:hAnsi="Times New Roman" w:cs="Times New Roman"/>
          <w:color w:val="000000"/>
          <w:sz w:val="28"/>
          <w:szCs w:val="28"/>
        </w:rPr>
        <w:t xml:space="preserve"> et représentent 60,62% du total des dépenses du Budget Général du PLF 2024. Ces dépenses portent sur les charges financières de la dette pour 1 406,23 Mds, les dépenses de personnel pour 9 270,53 Mds, les dépenses de biens et services pour 3 994,19 Mds et les dépenses de transfert pour 7 405,15 Mds.</w:t>
      </w:r>
    </w:p>
    <w:p w14:paraId="463341F8" w14:textId="77777777" w:rsidR="00E942D2" w:rsidRPr="006333CC" w:rsidRDefault="00E942D2" w:rsidP="00E942D2">
      <w:pPr>
        <w:jc w:val="both"/>
        <w:rPr>
          <w:rFonts w:ascii="Times New Roman" w:hAnsi="Times New Roman" w:cs="Times New Roman"/>
          <w:color w:val="000000"/>
          <w:sz w:val="28"/>
          <w:szCs w:val="28"/>
        </w:rPr>
      </w:pPr>
    </w:p>
    <w:p w14:paraId="3776A3A2" w14:textId="77777777" w:rsidR="00E942D2" w:rsidRPr="006333CC" w:rsidRDefault="00E942D2" w:rsidP="00E858A7">
      <w:pPr>
        <w:pStyle w:val="Paragraphedeliste"/>
        <w:numPr>
          <w:ilvl w:val="0"/>
          <w:numId w:val="3"/>
        </w:numPr>
        <w:ind w:right="-113"/>
        <w:jc w:val="both"/>
        <w:rPr>
          <w:rFonts w:ascii="Times New Roman" w:hAnsi="Times New Roman" w:cs="Times New Roman"/>
          <w:b/>
          <w:sz w:val="28"/>
          <w:szCs w:val="28"/>
        </w:rPr>
      </w:pPr>
      <w:r w:rsidRPr="006333CC">
        <w:rPr>
          <w:rFonts w:ascii="Times New Roman" w:hAnsi="Times New Roman" w:cs="Times New Roman"/>
          <w:b/>
          <w:sz w:val="28"/>
          <w:szCs w:val="28"/>
        </w:rPr>
        <w:t>Charges financières de la dette </w:t>
      </w:r>
    </w:p>
    <w:p w14:paraId="5D703DD7" w14:textId="77777777" w:rsidR="00E942D2" w:rsidRPr="006333CC" w:rsidRDefault="00E942D2" w:rsidP="00E942D2">
      <w:pPr>
        <w:ind w:left="-113" w:right="-113"/>
        <w:jc w:val="both"/>
        <w:rPr>
          <w:rFonts w:ascii="Times New Roman" w:hAnsi="Times New Roman" w:cs="Times New Roman"/>
          <w:b/>
          <w:sz w:val="28"/>
          <w:szCs w:val="28"/>
        </w:rPr>
      </w:pPr>
    </w:p>
    <w:p w14:paraId="36013F97"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Au titre des charges financières de la dette, les projections pour 2024 se chiffrent à 1 406,23 Mds contre une prévision de la LFR 2023 de 1 063,20 Mds, soit une hausse de 343,03 Mds (+32,26%). La part des charges financières de la dette dans les dépenses courantes est de 6,27% et se décomposent en intérêts de la dette intérieure pour 810,58 Mds (57,64%) et en intérêts de la dette extérieure pour 595,66 Mds (42,36%).</w:t>
      </w:r>
    </w:p>
    <w:p w14:paraId="68F15F91" w14:textId="77777777" w:rsidR="00E942D2" w:rsidRPr="006333CC" w:rsidRDefault="00E942D2" w:rsidP="00E942D2">
      <w:pPr>
        <w:ind w:left="-113" w:right="-113"/>
        <w:jc w:val="both"/>
        <w:rPr>
          <w:rFonts w:ascii="Times New Roman" w:hAnsi="Times New Roman" w:cs="Times New Roman"/>
          <w:sz w:val="28"/>
          <w:szCs w:val="28"/>
        </w:rPr>
      </w:pPr>
    </w:p>
    <w:p w14:paraId="0EEC241B" w14:textId="77777777" w:rsidR="00E942D2" w:rsidRPr="006333CC" w:rsidRDefault="00E942D2" w:rsidP="00E858A7">
      <w:pPr>
        <w:pStyle w:val="Paragraphedeliste"/>
        <w:numPr>
          <w:ilvl w:val="0"/>
          <w:numId w:val="3"/>
        </w:numPr>
        <w:ind w:right="-113"/>
        <w:jc w:val="both"/>
        <w:rPr>
          <w:rFonts w:ascii="Times New Roman" w:hAnsi="Times New Roman" w:cs="Times New Roman"/>
          <w:b/>
          <w:bCs/>
          <w:sz w:val="28"/>
          <w:szCs w:val="28"/>
        </w:rPr>
      </w:pPr>
      <w:r w:rsidRPr="006333CC">
        <w:rPr>
          <w:rFonts w:ascii="Times New Roman" w:hAnsi="Times New Roman" w:cs="Times New Roman"/>
          <w:b/>
          <w:bCs/>
          <w:sz w:val="28"/>
          <w:szCs w:val="28"/>
        </w:rPr>
        <w:t xml:space="preserve">Dépenses de personnel </w:t>
      </w:r>
    </w:p>
    <w:p w14:paraId="1431DEE7" w14:textId="77777777" w:rsidR="00E942D2" w:rsidRPr="006333CC" w:rsidRDefault="00E942D2" w:rsidP="00E942D2">
      <w:pPr>
        <w:ind w:left="-113" w:right="-113"/>
        <w:jc w:val="both"/>
        <w:rPr>
          <w:rFonts w:ascii="Times New Roman" w:hAnsi="Times New Roman" w:cs="Times New Roman"/>
          <w:color w:val="FF0000"/>
          <w:sz w:val="28"/>
          <w:szCs w:val="28"/>
        </w:rPr>
      </w:pPr>
    </w:p>
    <w:p w14:paraId="5840F525"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 xml:space="preserve">Les dépenses de personnel sont évaluées à 9 270,53 Mds contre 7 831,50 Mds en 2023, soit une augmentation de 1 439,03 Mds (+18,37%). Ce niveau de prévision prend en compte le programme de recrutement de 20 000 nouveaux fonctionnaires en 2024, l’impact du protocole d’accord signé entre le mouvement syndical, le Gouvernement et le Patronat, les primes de l’équipe nationale de </w:t>
      </w:r>
      <w:r w:rsidRPr="006333CC">
        <w:rPr>
          <w:rFonts w:ascii="Times New Roman" w:hAnsi="Times New Roman" w:cs="Times New Roman"/>
          <w:color w:val="000000"/>
          <w:sz w:val="28"/>
          <w:szCs w:val="28"/>
        </w:rPr>
        <w:lastRenderedPageBreak/>
        <w:t>football pour la Coupe d’Afrique des Nations 2024, le recrutement de nouveaux agents en faveur des forces de défense et de sécurité et les salaires projets.</w:t>
      </w:r>
    </w:p>
    <w:p w14:paraId="4F09733E"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 xml:space="preserve"> </w:t>
      </w:r>
    </w:p>
    <w:p w14:paraId="3896F375"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La part des dépenses de personnel dans les dépenses courantes se situe à 41,99%. Rapportées aux recettes fiscales, elles passent de 30,72% en LFR 2023 à 34,44% dans le PLF 2024. Ce taux reste légèrement encore inférieur au seuil du critère de convergence de la CEDEAO qui est de 35%. Toutefois, en intégrant les allocations familiales et les pensions civiles et militaires entièrement supportées par l’Etat, ce taux se porterait à 42,42%.</w:t>
      </w:r>
    </w:p>
    <w:p w14:paraId="1206927E" w14:textId="77777777" w:rsidR="00E942D2" w:rsidRPr="006333CC" w:rsidRDefault="00E942D2" w:rsidP="00E942D2">
      <w:pPr>
        <w:ind w:left="-113" w:right="-113"/>
        <w:jc w:val="both"/>
        <w:rPr>
          <w:rFonts w:ascii="Times New Roman" w:hAnsi="Times New Roman" w:cs="Times New Roman"/>
          <w:color w:val="FF0000"/>
          <w:sz w:val="28"/>
          <w:szCs w:val="28"/>
          <w:highlight w:val="yellow"/>
          <w:u w:val="single"/>
        </w:rPr>
      </w:pPr>
    </w:p>
    <w:p w14:paraId="212EAE16" w14:textId="77777777" w:rsidR="00E942D2" w:rsidRPr="006333CC" w:rsidRDefault="00E942D2" w:rsidP="00E858A7">
      <w:pPr>
        <w:pStyle w:val="Paragraphedeliste"/>
        <w:numPr>
          <w:ilvl w:val="0"/>
          <w:numId w:val="3"/>
        </w:numPr>
        <w:ind w:right="-113"/>
        <w:jc w:val="both"/>
        <w:rPr>
          <w:rFonts w:ascii="Times New Roman" w:hAnsi="Times New Roman" w:cs="Times New Roman"/>
          <w:b/>
          <w:sz w:val="28"/>
          <w:szCs w:val="28"/>
        </w:rPr>
      </w:pPr>
      <w:r w:rsidRPr="006333CC">
        <w:rPr>
          <w:rFonts w:ascii="Times New Roman" w:hAnsi="Times New Roman" w:cs="Times New Roman"/>
          <w:b/>
          <w:sz w:val="28"/>
          <w:szCs w:val="28"/>
        </w:rPr>
        <w:t>Dépenses de biens et services </w:t>
      </w:r>
    </w:p>
    <w:p w14:paraId="16D95251" w14:textId="77777777" w:rsidR="00E942D2" w:rsidRPr="006333CC" w:rsidRDefault="00E942D2" w:rsidP="00E942D2">
      <w:pPr>
        <w:ind w:left="-113" w:right="-113"/>
        <w:jc w:val="both"/>
        <w:rPr>
          <w:rFonts w:ascii="Times New Roman" w:hAnsi="Times New Roman" w:cs="Times New Roman"/>
          <w:b/>
          <w:bCs/>
          <w:color w:val="FF0000"/>
          <w:sz w:val="28"/>
          <w:szCs w:val="28"/>
          <w:u w:val="single"/>
        </w:rPr>
      </w:pPr>
    </w:p>
    <w:p w14:paraId="295C266F" w14:textId="6EA2F57B" w:rsidR="001629C4" w:rsidRPr="006333CC" w:rsidRDefault="00E942D2" w:rsidP="00A9745C">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Les dépenses de biens et services sont projetées à hauteur de 3 994,19 Mds contre 4 116,86 Mds dans la LFR 2023, soit une baisse de 122,67 Mds (-2,98%)</w:t>
      </w:r>
      <w:r w:rsidR="001629C4" w:rsidRPr="006333CC">
        <w:rPr>
          <w:rFonts w:ascii="Times New Roman" w:hAnsi="Times New Roman" w:cs="Times New Roman"/>
          <w:color w:val="000000"/>
          <w:sz w:val="28"/>
          <w:szCs w:val="28"/>
        </w:rPr>
        <w:t>,</w:t>
      </w:r>
      <w:r w:rsidRPr="006333CC">
        <w:rPr>
          <w:rFonts w:ascii="Times New Roman" w:hAnsi="Times New Roman" w:cs="Times New Roman"/>
          <w:color w:val="000000"/>
          <w:sz w:val="28"/>
          <w:szCs w:val="28"/>
        </w:rPr>
        <w:t xml:space="preserve"> et représentent 18,09% des dépenses courantes. Cette projection prend essentiellement en compte les activités liées au chronogramme de la Transition, le fonctionnement des forces de défense et de sécurité, l’achat de médicaments et de vaccins, la participation de la Guinée à la Coupe d’Afrique des Nations 2024 et la consommation en eau et électricité de l’administration publique. Ces dépenses absorbent 13,90% des recettes hors dons.</w:t>
      </w:r>
    </w:p>
    <w:p w14:paraId="3DD295E3" w14:textId="77777777" w:rsidR="001629C4" w:rsidRPr="00326A6C" w:rsidRDefault="001629C4" w:rsidP="00A9745C">
      <w:pPr>
        <w:jc w:val="both"/>
        <w:rPr>
          <w:rFonts w:ascii="Times New Roman" w:hAnsi="Times New Roman" w:cs="Times New Roman"/>
          <w:color w:val="000000"/>
          <w:sz w:val="24"/>
          <w:szCs w:val="24"/>
        </w:rPr>
      </w:pPr>
    </w:p>
    <w:p w14:paraId="21DDA503" w14:textId="77777777" w:rsidR="00E942D2" w:rsidRPr="006333CC" w:rsidRDefault="00E942D2" w:rsidP="00E858A7">
      <w:pPr>
        <w:pStyle w:val="Paragraphedeliste"/>
        <w:numPr>
          <w:ilvl w:val="0"/>
          <w:numId w:val="3"/>
        </w:numPr>
        <w:ind w:right="-113"/>
        <w:jc w:val="both"/>
        <w:rPr>
          <w:rFonts w:ascii="Times New Roman" w:hAnsi="Times New Roman" w:cs="Times New Roman"/>
          <w:b/>
          <w:sz w:val="28"/>
          <w:szCs w:val="28"/>
        </w:rPr>
      </w:pPr>
      <w:r w:rsidRPr="006333CC">
        <w:rPr>
          <w:rFonts w:ascii="Times New Roman" w:hAnsi="Times New Roman" w:cs="Times New Roman"/>
          <w:b/>
          <w:sz w:val="28"/>
          <w:szCs w:val="28"/>
        </w:rPr>
        <w:t>Dépenses de transfert </w:t>
      </w:r>
    </w:p>
    <w:p w14:paraId="4F1022BB" w14:textId="77777777" w:rsidR="00E942D2" w:rsidRPr="006333CC" w:rsidRDefault="00E942D2" w:rsidP="00E942D2">
      <w:pPr>
        <w:ind w:left="-113" w:right="-113"/>
        <w:jc w:val="both"/>
        <w:rPr>
          <w:rFonts w:ascii="Times New Roman" w:hAnsi="Times New Roman" w:cs="Times New Roman"/>
          <w:b/>
          <w:sz w:val="28"/>
          <w:szCs w:val="28"/>
        </w:rPr>
      </w:pPr>
    </w:p>
    <w:p w14:paraId="39113414"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Cette rubrique de dépenses est évaluée à 7 405,15 Mds dans le Projet de Loi de Finances 2024 contre 8 611,32 Mds en 2023, soit une diminution de 1 206,17 Mds (-14,01%). Cette baisse est portée principalement par la réduction de 1 250 Mds de la subvention accordée à EDG. La part des dépenses de transfert dans les dépenses courantes est de 33,54%.</w:t>
      </w:r>
    </w:p>
    <w:p w14:paraId="6407BC6E" w14:textId="77777777" w:rsidR="00E942D2" w:rsidRPr="006333CC" w:rsidRDefault="00E942D2" w:rsidP="00E942D2">
      <w:pPr>
        <w:jc w:val="both"/>
        <w:rPr>
          <w:rFonts w:ascii="Times New Roman" w:hAnsi="Times New Roman" w:cs="Times New Roman"/>
          <w:color w:val="000000"/>
          <w:sz w:val="28"/>
          <w:szCs w:val="28"/>
        </w:rPr>
      </w:pPr>
    </w:p>
    <w:p w14:paraId="52B1DA74" w14:textId="52CCF556" w:rsidR="00326A6C"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L’évaluation des dépenses de transfert a pris en compte les dépenses de pensions civiles et militaires</w:t>
      </w:r>
      <w:r w:rsidR="001629C4" w:rsidRPr="006333CC">
        <w:rPr>
          <w:rFonts w:ascii="Times New Roman" w:hAnsi="Times New Roman" w:cs="Times New Roman"/>
          <w:color w:val="000000"/>
          <w:sz w:val="28"/>
          <w:szCs w:val="28"/>
        </w:rPr>
        <w:t>,</w:t>
      </w:r>
      <w:r w:rsidRPr="006333CC">
        <w:rPr>
          <w:rFonts w:ascii="Times New Roman" w:hAnsi="Times New Roman" w:cs="Times New Roman"/>
          <w:color w:val="000000"/>
          <w:sz w:val="28"/>
          <w:szCs w:val="28"/>
        </w:rPr>
        <w:t xml:space="preserve"> revalorisées conformément au protocole d’accord entre le mouvement syndical et le Gouvernement, le Recensement Général de la Population et de l’Habitat (RGPH), l’assainissement du Grand Conakry, les bourses et compléments de bourses de nos étudiants à l’intérieur et à l’extérieur du pays, les contributions internationales, l’alimentation et les frais médicaux des détenus.</w:t>
      </w:r>
      <w:r w:rsidR="00326A6C" w:rsidRPr="006333CC">
        <w:rPr>
          <w:rFonts w:ascii="Times New Roman" w:hAnsi="Times New Roman" w:cs="Times New Roman"/>
          <w:color w:val="000000"/>
          <w:sz w:val="28"/>
          <w:szCs w:val="28"/>
        </w:rPr>
        <w:t xml:space="preserve"> </w:t>
      </w:r>
    </w:p>
    <w:p w14:paraId="17D4A7A6" w14:textId="0E5E4CB8" w:rsidR="00E942D2" w:rsidRPr="006333CC" w:rsidRDefault="00326A6C"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ab/>
        <w:t xml:space="preserve">   </w:t>
      </w:r>
      <w:r w:rsidRPr="006333CC">
        <w:rPr>
          <w:rFonts w:ascii="Times New Roman" w:hAnsi="Times New Roman" w:cs="Times New Roman"/>
          <w:color w:val="000000"/>
          <w:sz w:val="28"/>
          <w:szCs w:val="28"/>
        </w:rPr>
        <w:tab/>
      </w:r>
    </w:p>
    <w:p w14:paraId="59A3334D" w14:textId="77777777" w:rsidR="00E942D2" w:rsidRPr="006333CC" w:rsidRDefault="00E942D2" w:rsidP="00E858A7">
      <w:pPr>
        <w:pStyle w:val="Titre3"/>
        <w:numPr>
          <w:ilvl w:val="0"/>
          <w:numId w:val="1"/>
        </w:numPr>
        <w:ind w:left="-113" w:right="-113" w:firstLine="113"/>
        <w:jc w:val="both"/>
        <w:rPr>
          <w:rFonts w:ascii="Times New Roman" w:hAnsi="Times New Roman"/>
          <w:b/>
          <w:color w:val="auto"/>
          <w:sz w:val="28"/>
          <w:szCs w:val="28"/>
        </w:rPr>
      </w:pPr>
      <w:r w:rsidRPr="006333CC">
        <w:rPr>
          <w:rFonts w:ascii="Times New Roman" w:hAnsi="Times New Roman"/>
          <w:b/>
          <w:color w:val="auto"/>
          <w:sz w:val="28"/>
          <w:szCs w:val="28"/>
        </w:rPr>
        <w:t>Dépenses d’investissement </w:t>
      </w:r>
    </w:p>
    <w:p w14:paraId="64F3FC6B" w14:textId="77777777" w:rsidR="00E942D2" w:rsidRPr="006333CC" w:rsidRDefault="00E942D2" w:rsidP="00E942D2">
      <w:pPr>
        <w:ind w:left="-113" w:right="-113"/>
        <w:rPr>
          <w:rFonts w:ascii="Times New Roman" w:hAnsi="Times New Roman" w:cs="Times New Roman"/>
          <w:sz w:val="28"/>
          <w:szCs w:val="28"/>
          <w:lang w:val="x-none" w:eastAsia="x-none"/>
        </w:rPr>
      </w:pPr>
    </w:p>
    <w:p w14:paraId="7F2780D7"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lastRenderedPageBreak/>
        <w:t>Les dépenses d’investissement y compris BAS se chiffrent à 15 606,48 Mds contre 15 626,57 Mds dans la LFR 2023, soit une baisse de 15,88 Mds (-0,10%), elles représentent 41,05% des dépenses totales et sont financées à hauteur de 51,26% sur ressources intérieures et 48,74% sur ressources extérieures contre respectivement 53,17% et 46,83% en 2023.</w:t>
      </w:r>
    </w:p>
    <w:p w14:paraId="2986AE7E" w14:textId="77777777" w:rsidR="00E942D2" w:rsidRPr="006333CC" w:rsidRDefault="00E942D2" w:rsidP="00E942D2">
      <w:pPr>
        <w:jc w:val="both"/>
        <w:rPr>
          <w:rFonts w:ascii="Times New Roman" w:hAnsi="Times New Roman" w:cs="Times New Roman"/>
          <w:color w:val="000000"/>
          <w:sz w:val="28"/>
          <w:szCs w:val="28"/>
        </w:rPr>
      </w:pPr>
    </w:p>
    <w:p w14:paraId="2EE0F150" w14:textId="77777777"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Par ailleurs, les dépenses d’investissement hors BAS sont évaluées à 14 557,85 Mds contre 14 429,42 Mds en LFR 2023, soit une augmentation de 128,43 Mds (+0,89%). Leur part représente 39,74% des dépenses du budget général et 7,16% du PIB contre respectivement 40,02% et 6,77% dans le budget révisé de 2023.</w:t>
      </w:r>
    </w:p>
    <w:p w14:paraId="0696663A" w14:textId="10B7C146" w:rsidR="00E942D2" w:rsidRPr="006333CC" w:rsidRDefault="00E942D2" w:rsidP="00E942D2">
      <w:pPr>
        <w:jc w:val="both"/>
        <w:rPr>
          <w:rFonts w:ascii="Times New Roman" w:hAnsi="Times New Roman" w:cs="Times New Roman"/>
          <w:color w:val="000000"/>
          <w:sz w:val="28"/>
          <w:szCs w:val="28"/>
        </w:rPr>
      </w:pPr>
      <w:r w:rsidRPr="006333CC">
        <w:rPr>
          <w:rFonts w:ascii="Times New Roman" w:hAnsi="Times New Roman" w:cs="Times New Roman"/>
          <w:color w:val="000000"/>
          <w:sz w:val="28"/>
          <w:szCs w:val="28"/>
        </w:rPr>
        <w:t>Ces dépenses sont essentiellement dédiées à la poursuite de la réalisation des 44 projets et programmes prioritaires, l’acquisition de chancelleries pour les représentations diplomatiques à l’</w:t>
      </w:r>
      <w:r w:rsidR="001629C4" w:rsidRPr="006333CC">
        <w:rPr>
          <w:rFonts w:ascii="Times New Roman" w:hAnsi="Times New Roman" w:cs="Times New Roman"/>
          <w:color w:val="000000"/>
          <w:sz w:val="28"/>
          <w:szCs w:val="28"/>
        </w:rPr>
        <w:t>étranger</w:t>
      </w:r>
      <w:r w:rsidRPr="006333CC">
        <w:rPr>
          <w:rFonts w:ascii="Times New Roman" w:hAnsi="Times New Roman" w:cs="Times New Roman"/>
          <w:color w:val="000000"/>
          <w:sz w:val="28"/>
          <w:szCs w:val="28"/>
        </w:rPr>
        <w:t>, l’allocation au Fonds d’Entretien Routier, les prises de participation et à l’acquisition de 50 nouveaux bus de transport en commun.</w:t>
      </w:r>
    </w:p>
    <w:p w14:paraId="1CCE5486" w14:textId="77777777" w:rsidR="0061303D" w:rsidRPr="006333CC" w:rsidRDefault="0061303D" w:rsidP="0061303D">
      <w:pPr>
        <w:jc w:val="both"/>
        <w:rPr>
          <w:rFonts w:ascii="Times New Roman" w:hAnsi="Times New Roman" w:cs="Times New Roman"/>
          <w:color w:val="FF0000"/>
          <w:sz w:val="28"/>
          <w:szCs w:val="28"/>
        </w:rPr>
      </w:pPr>
      <w:r w:rsidRPr="006333CC">
        <w:rPr>
          <w:rFonts w:ascii="Times New Roman" w:hAnsi="Times New Roman" w:cs="Times New Roman"/>
          <w:color w:val="FF0000"/>
          <w:sz w:val="28"/>
          <w:szCs w:val="28"/>
        </w:rPr>
        <w:t> </w:t>
      </w:r>
    </w:p>
    <w:p w14:paraId="64895E97" w14:textId="06D7B2C9" w:rsidR="00632215" w:rsidRPr="006333CC" w:rsidRDefault="00E942D2" w:rsidP="00E942D2">
      <w:pPr>
        <w:jc w:val="both"/>
        <w:rPr>
          <w:rFonts w:ascii="Times New Roman" w:hAnsi="Times New Roman" w:cs="Times New Roman"/>
          <w:b/>
          <w:bCs/>
          <w:sz w:val="28"/>
          <w:szCs w:val="28"/>
        </w:rPr>
      </w:pPr>
      <w:r w:rsidRPr="006333CC">
        <w:rPr>
          <w:rFonts w:ascii="Times New Roman" w:hAnsi="Times New Roman" w:cs="Times New Roman"/>
          <w:b/>
          <w:bCs/>
          <w:sz w:val="28"/>
          <w:szCs w:val="28"/>
        </w:rPr>
        <w:t>Honorables Conseillers Nationaux,</w:t>
      </w:r>
      <w:r w:rsidR="001629C4" w:rsidRPr="006333CC">
        <w:rPr>
          <w:rFonts w:ascii="Times New Roman" w:hAnsi="Times New Roman" w:cs="Times New Roman"/>
          <w:b/>
          <w:bCs/>
          <w:sz w:val="28"/>
          <w:szCs w:val="28"/>
        </w:rPr>
        <w:t xml:space="preserve"> </w:t>
      </w:r>
    </w:p>
    <w:p w14:paraId="20E4BBE7" w14:textId="77777777" w:rsidR="00326A6C" w:rsidRPr="006333CC" w:rsidRDefault="00326A6C" w:rsidP="00E259B4">
      <w:pPr>
        <w:rPr>
          <w:rFonts w:ascii="Times New Roman" w:hAnsi="Times New Roman" w:cs="Times New Roman"/>
          <w:sz w:val="28"/>
          <w:szCs w:val="28"/>
        </w:rPr>
      </w:pPr>
    </w:p>
    <w:p w14:paraId="423ECA59" w14:textId="73BFD1E9" w:rsidR="00E259B4" w:rsidRPr="006333CC" w:rsidRDefault="00326A6C" w:rsidP="00E259B4">
      <w:pPr>
        <w:rPr>
          <w:rFonts w:ascii="Times New Roman" w:hAnsi="Times New Roman" w:cs="Times New Roman"/>
          <w:sz w:val="28"/>
          <w:szCs w:val="28"/>
        </w:rPr>
      </w:pPr>
      <w:r w:rsidRPr="006333CC">
        <w:rPr>
          <w:rFonts w:ascii="Times New Roman" w:hAnsi="Times New Roman" w:cs="Times New Roman"/>
          <w:sz w:val="28"/>
          <w:szCs w:val="28"/>
        </w:rPr>
        <w:t>Niveau de</w:t>
      </w:r>
      <w:r w:rsidR="00E259B4" w:rsidRPr="006333CC">
        <w:rPr>
          <w:rFonts w:ascii="Times New Roman" w:hAnsi="Times New Roman" w:cs="Times New Roman"/>
          <w:sz w:val="28"/>
          <w:szCs w:val="28"/>
        </w:rPr>
        <w:t xml:space="preserve"> la mise en œuvre des recommandations du CNT</w:t>
      </w:r>
    </w:p>
    <w:p w14:paraId="7DE58D39" w14:textId="77777777" w:rsidR="00E259B4" w:rsidRPr="00BC68AB" w:rsidRDefault="00E259B4" w:rsidP="00E259B4">
      <w:pPr>
        <w:rPr>
          <w:rFonts w:cstheme="minorHAnsi"/>
        </w:rPr>
      </w:pPr>
    </w:p>
    <w:tbl>
      <w:tblPr>
        <w:tblStyle w:val="Grilledutableau"/>
        <w:tblW w:w="10774" w:type="dxa"/>
        <w:tblInd w:w="-856" w:type="dxa"/>
        <w:tblLayout w:type="fixed"/>
        <w:tblLook w:val="04A0" w:firstRow="1" w:lastRow="0" w:firstColumn="1" w:lastColumn="0" w:noHBand="0" w:noVBand="1"/>
      </w:tblPr>
      <w:tblGrid>
        <w:gridCol w:w="425"/>
        <w:gridCol w:w="4821"/>
        <w:gridCol w:w="1984"/>
        <w:gridCol w:w="3544"/>
      </w:tblGrid>
      <w:tr w:rsidR="00E259B4" w:rsidRPr="007C196D" w14:paraId="1BD800D9" w14:textId="77777777" w:rsidTr="00326A6C">
        <w:trPr>
          <w:trHeight w:val="635"/>
        </w:trPr>
        <w:tc>
          <w:tcPr>
            <w:tcW w:w="425" w:type="dxa"/>
            <w:shd w:val="clear" w:color="auto" w:fill="D9D9D9" w:themeFill="background1" w:themeFillShade="D9"/>
          </w:tcPr>
          <w:p w14:paraId="6A67BC31" w14:textId="77777777" w:rsidR="00E259B4" w:rsidRPr="00326A6C" w:rsidRDefault="00E259B4" w:rsidP="00326A6C">
            <w:pPr>
              <w:jc w:val="center"/>
              <w:rPr>
                <w:rFonts w:ascii="Times New Roman" w:hAnsi="Times New Roman" w:cs="Times New Roman"/>
                <w:b/>
                <w:sz w:val="20"/>
                <w:szCs w:val="20"/>
              </w:rPr>
            </w:pPr>
          </w:p>
          <w:p w14:paraId="28AB80A4" w14:textId="77777777" w:rsidR="00E259B4" w:rsidRPr="00326A6C" w:rsidRDefault="00E259B4" w:rsidP="00326A6C">
            <w:pPr>
              <w:ind w:hanging="107"/>
              <w:rPr>
                <w:rFonts w:ascii="Times New Roman" w:hAnsi="Times New Roman" w:cs="Times New Roman"/>
                <w:b/>
                <w:sz w:val="20"/>
                <w:szCs w:val="20"/>
              </w:rPr>
            </w:pPr>
            <w:r w:rsidRPr="00326A6C">
              <w:rPr>
                <w:rFonts w:ascii="Times New Roman" w:hAnsi="Times New Roman" w:cs="Times New Roman"/>
                <w:b/>
                <w:sz w:val="20"/>
                <w:szCs w:val="20"/>
              </w:rPr>
              <w:t>N°</w:t>
            </w:r>
          </w:p>
        </w:tc>
        <w:tc>
          <w:tcPr>
            <w:tcW w:w="4821" w:type="dxa"/>
            <w:shd w:val="clear" w:color="auto" w:fill="D9D9D9" w:themeFill="background1" w:themeFillShade="D9"/>
          </w:tcPr>
          <w:p w14:paraId="5672C913" w14:textId="77777777" w:rsidR="00E259B4" w:rsidRPr="00326A6C" w:rsidRDefault="00E259B4" w:rsidP="00326A6C">
            <w:pPr>
              <w:jc w:val="center"/>
              <w:rPr>
                <w:rFonts w:ascii="Times New Roman" w:hAnsi="Times New Roman" w:cs="Times New Roman"/>
                <w:b/>
                <w:sz w:val="20"/>
                <w:szCs w:val="20"/>
              </w:rPr>
            </w:pPr>
          </w:p>
          <w:p w14:paraId="0C98D245" w14:textId="77777777" w:rsidR="00E259B4" w:rsidRPr="00326A6C" w:rsidRDefault="00E259B4" w:rsidP="00326A6C">
            <w:pPr>
              <w:jc w:val="center"/>
              <w:rPr>
                <w:rFonts w:ascii="Times New Roman" w:hAnsi="Times New Roman" w:cs="Times New Roman"/>
                <w:b/>
                <w:sz w:val="20"/>
                <w:szCs w:val="20"/>
              </w:rPr>
            </w:pPr>
            <w:r w:rsidRPr="00326A6C">
              <w:rPr>
                <w:rFonts w:ascii="Times New Roman" w:hAnsi="Times New Roman" w:cs="Times New Roman"/>
                <w:b/>
                <w:sz w:val="20"/>
                <w:szCs w:val="20"/>
              </w:rPr>
              <w:t>Recommandations LFR 2023</w:t>
            </w:r>
          </w:p>
          <w:p w14:paraId="5DC757EA" w14:textId="77777777" w:rsidR="00E259B4" w:rsidRPr="00326A6C" w:rsidRDefault="00E259B4" w:rsidP="00326A6C">
            <w:pPr>
              <w:jc w:val="center"/>
              <w:rPr>
                <w:rFonts w:ascii="Times New Roman" w:hAnsi="Times New Roman" w:cs="Times New Roman"/>
                <w:b/>
                <w:sz w:val="20"/>
                <w:szCs w:val="20"/>
              </w:rPr>
            </w:pPr>
            <w:r w:rsidRPr="00326A6C">
              <w:rPr>
                <w:rFonts w:ascii="Times New Roman" w:hAnsi="Times New Roman" w:cs="Times New Roman"/>
                <w:b/>
                <w:sz w:val="20"/>
                <w:szCs w:val="20"/>
              </w:rPr>
              <w:t>Volet dépenses</w:t>
            </w:r>
          </w:p>
        </w:tc>
        <w:tc>
          <w:tcPr>
            <w:tcW w:w="1984" w:type="dxa"/>
            <w:shd w:val="clear" w:color="auto" w:fill="D9D9D9" w:themeFill="background1" w:themeFillShade="D9"/>
          </w:tcPr>
          <w:p w14:paraId="43848459" w14:textId="77777777" w:rsidR="00E259B4" w:rsidRPr="00326A6C" w:rsidRDefault="00E259B4" w:rsidP="00326A6C">
            <w:pPr>
              <w:jc w:val="center"/>
              <w:rPr>
                <w:rFonts w:ascii="Times New Roman" w:hAnsi="Times New Roman" w:cs="Times New Roman"/>
                <w:b/>
                <w:sz w:val="20"/>
                <w:szCs w:val="20"/>
              </w:rPr>
            </w:pPr>
          </w:p>
          <w:p w14:paraId="4DD62A17" w14:textId="77777777" w:rsidR="00E259B4" w:rsidRPr="00326A6C" w:rsidRDefault="00E259B4" w:rsidP="00326A6C">
            <w:pPr>
              <w:jc w:val="center"/>
              <w:rPr>
                <w:rFonts w:ascii="Times New Roman" w:hAnsi="Times New Roman" w:cs="Times New Roman"/>
                <w:b/>
                <w:sz w:val="20"/>
                <w:szCs w:val="20"/>
              </w:rPr>
            </w:pPr>
            <w:r w:rsidRPr="00326A6C">
              <w:rPr>
                <w:rFonts w:ascii="Times New Roman" w:hAnsi="Times New Roman" w:cs="Times New Roman"/>
                <w:b/>
                <w:sz w:val="20"/>
                <w:szCs w:val="20"/>
              </w:rPr>
              <w:t>Niveau d’exécution</w:t>
            </w:r>
          </w:p>
        </w:tc>
        <w:tc>
          <w:tcPr>
            <w:tcW w:w="3544" w:type="dxa"/>
            <w:shd w:val="clear" w:color="auto" w:fill="D9D9D9" w:themeFill="background1" w:themeFillShade="D9"/>
          </w:tcPr>
          <w:p w14:paraId="2C199371" w14:textId="77777777" w:rsidR="00E259B4" w:rsidRPr="00326A6C" w:rsidRDefault="00E259B4" w:rsidP="00326A6C">
            <w:pPr>
              <w:jc w:val="center"/>
              <w:rPr>
                <w:rFonts w:ascii="Times New Roman" w:hAnsi="Times New Roman" w:cs="Times New Roman"/>
                <w:b/>
                <w:sz w:val="20"/>
                <w:szCs w:val="20"/>
              </w:rPr>
            </w:pPr>
          </w:p>
          <w:p w14:paraId="6C3A1CC8" w14:textId="77777777" w:rsidR="00E259B4" w:rsidRPr="00326A6C" w:rsidRDefault="00E259B4" w:rsidP="00326A6C">
            <w:pPr>
              <w:jc w:val="center"/>
              <w:rPr>
                <w:rFonts w:ascii="Times New Roman" w:hAnsi="Times New Roman" w:cs="Times New Roman"/>
                <w:b/>
                <w:sz w:val="20"/>
                <w:szCs w:val="20"/>
              </w:rPr>
            </w:pPr>
            <w:r w:rsidRPr="00326A6C">
              <w:rPr>
                <w:rFonts w:ascii="Times New Roman" w:hAnsi="Times New Roman" w:cs="Times New Roman"/>
                <w:b/>
                <w:sz w:val="20"/>
                <w:szCs w:val="20"/>
              </w:rPr>
              <w:t>Observations</w:t>
            </w:r>
          </w:p>
          <w:p w14:paraId="0C6F107B" w14:textId="77777777" w:rsidR="00E259B4" w:rsidRPr="00326A6C" w:rsidRDefault="00E259B4" w:rsidP="00326A6C">
            <w:pPr>
              <w:jc w:val="center"/>
              <w:rPr>
                <w:rFonts w:ascii="Times New Roman" w:hAnsi="Times New Roman" w:cs="Times New Roman"/>
                <w:b/>
                <w:sz w:val="20"/>
                <w:szCs w:val="20"/>
              </w:rPr>
            </w:pPr>
          </w:p>
        </w:tc>
      </w:tr>
      <w:tr w:rsidR="00E259B4" w:rsidRPr="007C196D" w14:paraId="29467AA0" w14:textId="77777777" w:rsidTr="00326A6C">
        <w:tc>
          <w:tcPr>
            <w:tcW w:w="425" w:type="dxa"/>
          </w:tcPr>
          <w:p w14:paraId="48A54738"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1</w:t>
            </w:r>
          </w:p>
        </w:tc>
        <w:tc>
          <w:tcPr>
            <w:tcW w:w="4821" w:type="dxa"/>
          </w:tcPr>
          <w:p w14:paraId="07AA06A4" w14:textId="609E62E2" w:rsidR="00E259B4" w:rsidRPr="00326A6C" w:rsidRDefault="00F91C48" w:rsidP="00326A6C">
            <w:pPr>
              <w:jc w:val="both"/>
              <w:rPr>
                <w:rFonts w:ascii="Times New Roman" w:hAnsi="Times New Roman" w:cs="Times New Roman"/>
                <w:noProof/>
                <w:color w:val="FF0000"/>
                <w:sz w:val="20"/>
                <w:szCs w:val="20"/>
              </w:rPr>
            </w:pPr>
            <w:r w:rsidRPr="00326A6C">
              <w:rPr>
                <w:rFonts w:ascii="Times New Roman" w:hAnsi="Times New Roman" w:cs="Times New Roman"/>
                <w:color w:val="000000" w:themeColor="text1"/>
                <w:sz w:val="20"/>
                <w:szCs w:val="20"/>
              </w:rPr>
              <w:t>Renégocier à</w:t>
            </w:r>
            <w:r w:rsidR="00E259B4" w:rsidRPr="00326A6C">
              <w:rPr>
                <w:rFonts w:ascii="Times New Roman" w:hAnsi="Times New Roman" w:cs="Times New Roman"/>
                <w:color w:val="000000" w:themeColor="text1"/>
                <w:sz w:val="20"/>
                <w:szCs w:val="20"/>
              </w:rPr>
              <w:t xml:space="preserve"> la baisse les contrats de location des bâtiments abritant certains</w:t>
            </w:r>
            <w:r w:rsidR="00E259B4" w:rsidRPr="00326A6C">
              <w:rPr>
                <w:rFonts w:ascii="Times New Roman" w:hAnsi="Times New Roman" w:cs="Times New Roman"/>
                <w:noProof/>
                <w:color w:val="FF0000"/>
                <w:sz w:val="20"/>
                <w:szCs w:val="20"/>
              </w:rPr>
              <w:t xml:space="preserve"> </w:t>
            </w:r>
            <w:r w:rsidR="00E259B4" w:rsidRPr="00326A6C">
              <w:rPr>
                <w:rFonts w:ascii="Times New Roman" w:hAnsi="Times New Roman" w:cs="Times New Roman"/>
                <w:color w:val="000000" w:themeColor="text1"/>
                <w:sz w:val="20"/>
                <w:szCs w:val="20"/>
              </w:rPr>
              <w:t>services publics tel</w:t>
            </w:r>
            <w:r w:rsidR="001629C4">
              <w:rPr>
                <w:rFonts w:ascii="Times New Roman" w:hAnsi="Times New Roman" w:cs="Times New Roman"/>
                <w:color w:val="000000" w:themeColor="text1"/>
                <w:sz w:val="20"/>
                <w:szCs w:val="20"/>
              </w:rPr>
              <w:t>les</w:t>
            </w:r>
            <w:r w:rsidR="00E259B4" w:rsidRPr="00326A6C">
              <w:rPr>
                <w:rFonts w:ascii="Times New Roman" w:hAnsi="Times New Roman" w:cs="Times New Roman"/>
                <w:color w:val="000000" w:themeColor="text1"/>
                <w:sz w:val="20"/>
                <w:szCs w:val="20"/>
              </w:rPr>
              <w:t xml:space="preserve"> que : la Cour des Comptes et la Cour Suprême</w:t>
            </w:r>
            <w:r w:rsidR="00E259B4" w:rsidRPr="00326A6C">
              <w:rPr>
                <w:rFonts w:ascii="Times New Roman" w:hAnsi="Times New Roman" w:cs="Times New Roman"/>
                <w:sz w:val="20"/>
                <w:szCs w:val="20"/>
              </w:rPr>
              <w:t xml:space="preserve"> qui coûtent </w:t>
            </w:r>
            <w:r w:rsidR="00E259B4" w:rsidRPr="00326A6C">
              <w:rPr>
                <w:rFonts w:ascii="Times New Roman" w:hAnsi="Times New Roman" w:cs="Times New Roman"/>
                <w:color w:val="000000" w:themeColor="text1"/>
                <w:sz w:val="20"/>
                <w:szCs w:val="20"/>
              </w:rPr>
              <w:t xml:space="preserve">près de 21 Mds par an à l’État. </w:t>
            </w:r>
          </w:p>
        </w:tc>
        <w:tc>
          <w:tcPr>
            <w:tcW w:w="1984" w:type="dxa"/>
          </w:tcPr>
          <w:p w14:paraId="20CD6625"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 xml:space="preserve">En cours d’exécution </w:t>
            </w:r>
          </w:p>
        </w:tc>
        <w:tc>
          <w:tcPr>
            <w:tcW w:w="3544" w:type="dxa"/>
            <w:vAlign w:val="center"/>
          </w:tcPr>
          <w:p w14:paraId="02D4657F" w14:textId="4C719830" w:rsidR="00E259B4" w:rsidRPr="00326A6C" w:rsidRDefault="007C196D"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 xml:space="preserve">La </w:t>
            </w:r>
            <w:r w:rsidR="00E259B4" w:rsidRPr="00326A6C">
              <w:rPr>
                <w:rFonts w:ascii="Times New Roman" w:hAnsi="Times New Roman" w:cs="Times New Roman"/>
                <w:color w:val="000000" w:themeColor="text1"/>
                <w:sz w:val="20"/>
                <w:szCs w:val="20"/>
              </w:rPr>
              <w:t xml:space="preserve">révision du contrat </w:t>
            </w:r>
            <w:r w:rsidR="00330DFE" w:rsidRPr="00326A6C">
              <w:rPr>
                <w:rFonts w:ascii="Times New Roman" w:hAnsi="Times New Roman" w:cs="Times New Roman"/>
                <w:color w:val="000000" w:themeColor="text1"/>
                <w:sz w:val="20"/>
                <w:szCs w:val="20"/>
              </w:rPr>
              <w:t xml:space="preserve">est </w:t>
            </w:r>
            <w:r w:rsidR="00E259B4" w:rsidRPr="00326A6C">
              <w:rPr>
                <w:rFonts w:ascii="Times New Roman" w:hAnsi="Times New Roman" w:cs="Times New Roman"/>
                <w:color w:val="000000" w:themeColor="text1"/>
                <w:sz w:val="20"/>
                <w:szCs w:val="20"/>
              </w:rPr>
              <w:t xml:space="preserve">en cours et </w:t>
            </w:r>
            <w:r w:rsidRPr="00326A6C">
              <w:rPr>
                <w:rFonts w:ascii="Times New Roman" w:hAnsi="Times New Roman" w:cs="Times New Roman"/>
                <w:color w:val="000000" w:themeColor="text1"/>
                <w:sz w:val="20"/>
                <w:szCs w:val="20"/>
              </w:rPr>
              <w:t xml:space="preserve">le </w:t>
            </w:r>
            <w:r w:rsidR="00E259B4" w:rsidRPr="00326A6C">
              <w:rPr>
                <w:rFonts w:ascii="Times New Roman" w:hAnsi="Times New Roman" w:cs="Times New Roman"/>
                <w:color w:val="000000" w:themeColor="text1"/>
                <w:sz w:val="20"/>
                <w:szCs w:val="20"/>
              </w:rPr>
              <w:t xml:space="preserve">projet de construction </w:t>
            </w:r>
            <w:r w:rsidR="00330DFE" w:rsidRPr="00326A6C">
              <w:rPr>
                <w:rFonts w:ascii="Times New Roman" w:hAnsi="Times New Roman" w:cs="Times New Roman"/>
                <w:color w:val="000000" w:themeColor="text1"/>
                <w:sz w:val="20"/>
                <w:szCs w:val="20"/>
              </w:rPr>
              <w:t>de leur</w:t>
            </w:r>
            <w:r w:rsidR="00B062DA">
              <w:rPr>
                <w:rFonts w:ascii="Times New Roman" w:hAnsi="Times New Roman" w:cs="Times New Roman"/>
                <w:color w:val="000000" w:themeColor="text1"/>
                <w:sz w:val="20"/>
                <w:szCs w:val="20"/>
              </w:rPr>
              <w:t>s</w:t>
            </w:r>
            <w:r w:rsidR="00330DFE" w:rsidRPr="00326A6C">
              <w:rPr>
                <w:rFonts w:ascii="Times New Roman" w:hAnsi="Times New Roman" w:cs="Times New Roman"/>
                <w:color w:val="000000" w:themeColor="text1"/>
                <w:sz w:val="20"/>
                <w:szCs w:val="20"/>
              </w:rPr>
              <w:t xml:space="preserve"> siège</w:t>
            </w:r>
            <w:r w:rsidR="00B062DA">
              <w:rPr>
                <w:rFonts w:ascii="Times New Roman" w:hAnsi="Times New Roman" w:cs="Times New Roman"/>
                <w:color w:val="000000" w:themeColor="text1"/>
                <w:sz w:val="20"/>
                <w:szCs w:val="20"/>
              </w:rPr>
              <w:t>s</w:t>
            </w:r>
            <w:r w:rsidR="00330DFE" w:rsidRPr="00326A6C">
              <w:rPr>
                <w:rFonts w:ascii="Times New Roman" w:hAnsi="Times New Roman" w:cs="Times New Roman"/>
                <w:color w:val="000000" w:themeColor="text1"/>
                <w:sz w:val="20"/>
                <w:szCs w:val="20"/>
              </w:rPr>
              <w:t xml:space="preserve"> est prévu au site </w:t>
            </w:r>
            <w:r w:rsidRPr="00326A6C">
              <w:rPr>
                <w:rFonts w:ascii="Times New Roman" w:hAnsi="Times New Roman" w:cs="Times New Roman"/>
                <w:color w:val="000000" w:themeColor="text1"/>
                <w:sz w:val="20"/>
                <w:szCs w:val="20"/>
              </w:rPr>
              <w:t xml:space="preserve">de Koloma. </w:t>
            </w:r>
          </w:p>
        </w:tc>
      </w:tr>
      <w:tr w:rsidR="00E259B4" w:rsidRPr="007C196D" w14:paraId="523EDC2E" w14:textId="77777777" w:rsidTr="00326A6C">
        <w:tc>
          <w:tcPr>
            <w:tcW w:w="425" w:type="dxa"/>
          </w:tcPr>
          <w:p w14:paraId="0FDB1C87"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2</w:t>
            </w:r>
          </w:p>
        </w:tc>
        <w:tc>
          <w:tcPr>
            <w:tcW w:w="4821" w:type="dxa"/>
          </w:tcPr>
          <w:p w14:paraId="63E22DB3" w14:textId="0A99E4FB" w:rsidR="00E259B4" w:rsidRPr="00326A6C" w:rsidRDefault="007C196D" w:rsidP="00326A6C">
            <w:pPr>
              <w:jc w:val="both"/>
              <w:rPr>
                <w:rFonts w:ascii="Times New Roman" w:hAnsi="Times New Roman" w:cs="Times New Roman"/>
                <w:sz w:val="20"/>
                <w:szCs w:val="20"/>
              </w:rPr>
            </w:pPr>
            <w:r w:rsidRPr="00326A6C">
              <w:rPr>
                <w:rFonts w:ascii="Times New Roman" w:hAnsi="Times New Roman" w:cs="Times New Roman"/>
                <w:color w:val="000000" w:themeColor="text1"/>
                <w:sz w:val="20"/>
                <w:szCs w:val="20"/>
                <w:shd w:val="clear" w:color="auto" w:fill="FFFFFF"/>
              </w:rPr>
              <w:t>Rétrocéder</w:t>
            </w:r>
            <w:r w:rsidR="00E259B4" w:rsidRPr="00326A6C">
              <w:rPr>
                <w:rFonts w:ascii="Times New Roman" w:hAnsi="Times New Roman" w:cs="Times New Roman"/>
                <w:color w:val="000000" w:themeColor="text1"/>
                <w:sz w:val="20"/>
                <w:szCs w:val="20"/>
                <w:shd w:val="clear" w:color="auto" w:fill="FFFFFF"/>
              </w:rPr>
              <w:t xml:space="preserve"> les ressources affectées à l’ANAFIC en faveur des collectivités locales</w:t>
            </w:r>
          </w:p>
        </w:tc>
        <w:tc>
          <w:tcPr>
            <w:tcW w:w="1984" w:type="dxa"/>
          </w:tcPr>
          <w:p w14:paraId="770010E1" w14:textId="25486CE3"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Pris</w:t>
            </w:r>
            <w:r w:rsidR="00330DFE"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5894744F" w14:textId="7B7E68EC" w:rsidR="00E259B4" w:rsidRPr="00326A6C" w:rsidRDefault="00330DFE"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plus de 250 Mds ont été affectés à l’ANAFIC depuis cette recommandation</w:t>
            </w:r>
          </w:p>
        </w:tc>
      </w:tr>
      <w:tr w:rsidR="00E259B4" w:rsidRPr="007C196D" w14:paraId="7E26C4D4" w14:textId="77777777" w:rsidTr="00326A6C">
        <w:tc>
          <w:tcPr>
            <w:tcW w:w="425" w:type="dxa"/>
          </w:tcPr>
          <w:p w14:paraId="5091B69D"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3</w:t>
            </w:r>
          </w:p>
        </w:tc>
        <w:tc>
          <w:tcPr>
            <w:tcW w:w="4821" w:type="dxa"/>
          </w:tcPr>
          <w:p w14:paraId="01178014" w14:textId="77777777" w:rsidR="00E259B4" w:rsidRPr="00326A6C" w:rsidRDefault="00E259B4" w:rsidP="00326A6C">
            <w:pPr>
              <w:jc w:val="both"/>
              <w:rPr>
                <w:rFonts w:ascii="Times New Roman" w:hAnsi="Times New Roman" w:cs="Times New Roman"/>
                <w:sz w:val="20"/>
                <w:szCs w:val="20"/>
              </w:rPr>
            </w:pPr>
            <w:r w:rsidRPr="00326A6C">
              <w:rPr>
                <w:rFonts w:ascii="Times New Roman" w:hAnsi="Times New Roman" w:cs="Times New Roman"/>
                <w:sz w:val="20"/>
                <w:szCs w:val="20"/>
              </w:rPr>
              <w:t xml:space="preserve">Prendre les dispositions utiles pour le paiement effectif de la subvention et de la contrepartie guinéenne en vue de rendre l’hôpital Donka plus opérationnel. </w:t>
            </w:r>
          </w:p>
        </w:tc>
        <w:tc>
          <w:tcPr>
            <w:tcW w:w="1984" w:type="dxa"/>
          </w:tcPr>
          <w:p w14:paraId="7D9926F9" w14:textId="5641618E"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Pris</w:t>
            </w:r>
            <w:r w:rsidR="00330DFE"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777928FF" w14:textId="4AE20A09" w:rsidR="00E259B4" w:rsidRPr="00326A6C" w:rsidRDefault="00E259B4"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 xml:space="preserve">au 06 décembre 2023, le montant total des paiements en faveur de Donka est de 27,29 </w:t>
            </w:r>
            <w:r w:rsidR="00B062DA">
              <w:rPr>
                <w:rFonts w:ascii="Times New Roman" w:hAnsi="Times New Roman" w:cs="Times New Roman"/>
                <w:color w:val="000000" w:themeColor="text1"/>
                <w:sz w:val="20"/>
                <w:szCs w:val="20"/>
              </w:rPr>
              <w:t>M</w:t>
            </w:r>
            <w:r w:rsidRPr="00326A6C">
              <w:rPr>
                <w:rFonts w:ascii="Times New Roman" w:hAnsi="Times New Roman" w:cs="Times New Roman"/>
                <w:color w:val="000000" w:themeColor="text1"/>
                <w:sz w:val="20"/>
                <w:szCs w:val="20"/>
              </w:rPr>
              <w:t>ds GNF dont 25 mds GNF de contrepartie,</w:t>
            </w:r>
          </w:p>
        </w:tc>
      </w:tr>
      <w:tr w:rsidR="00E259B4" w:rsidRPr="007C196D" w14:paraId="12649623" w14:textId="77777777" w:rsidTr="00326A6C">
        <w:tc>
          <w:tcPr>
            <w:tcW w:w="425" w:type="dxa"/>
          </w:tcPr>
          <w:p w14:paraId="305A0582"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4</w:t>
            </w:r>
          </w:p>
        </w:tc>
        <w:tc>
          <w:tcPr>
            <w:tcW w:w="4821" w:type="dxa"/>
          </w:tcPr>
          <w:p w14:paraId="089215E3" w14:textId="77777777" w:rsidR="00E259B4" w:rsidRPr="00326A6C" w:rsidRDefault="00E259B4" w:rsidP="00326A6C">
            <w:pPr>
              <w:jc w:val="both"/>
              <w:rPr>
                <w:rFonts w:ascii="Times New Roman" w:hAnsi="Times New Roman" w:cs="Times New Roman"/>
                <w:sz w:val="20"/>
                <w:szCs w:val="20"/>
              </w:rPr>
            </w:pPr>
            <w:r w:rsidRPr="00326A6C">
              <w:rPr>
                <w:rFonts w:ascii="Times New Roman" w:hAnsi="Times New Roman" w:cs="Times New Roman"/>
                <w:sz w:val="20"/>
                <w:szCs w:val="20"/>
              </w:rPr>
              <w:t>Respecter le cadrage du Premier ministre relatif à l’allocation des 20% aux services déconcentrés.</w:t>
            </w:r>
          </w:p>
        </w:tc>
        <w:tc>
          <w:tcPr>
            <w:tcW w:w="1984" w:type="dxa"/>
          </w:tcPr>
          <w:p w14:paraId="675E47C8" w14:textId="5CA7DA34"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 xml:space="preserve">Partiellement </w:t>
            </w:r>
            <w:r w:rsidR="00B062DA">
              <w:rPr>
                <w:rFonts w:ascii="Times New Roman" w:hAnsi="Times New Roman" w:cs="Times New Roman"/>
                <w:sz w:val="20"/>
                <w:szCs w:val="20"/>
              </w:rPr>
              <w:t>exécutée</w:t>
            </w:r>
            <w:r w:rsidRPr="00326A6C">
              <w:rPr>
                <w:rFonts w:ascii="Times New Roman" w:hAnsi="Times New Roman" w:cs="Times New Roman"/>
                <w:sz w:val="20"/>
                <w:szCs w:val="20"/>
              </w:rPr>
              <w:t xml:space="preserve"> </w:t>
            </w:r>
          </w:p>
        </w:tc>
        <w:tc>
          <w:tcPr>
            <w:tcW w:w="3544" w:type="dxa"/>
            <w:vAlign w:val="center"/>
          </w:tcPr>
          <w:p w14:paraId="26F4A4D7" w14:textId="77777777" w:rsidR="00E259B4" w:rsidRPr="00326A6C" w:rsidRDefault="00E259B4"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 xml:space="preserve">21 sur 25 Ministères ont appliqué la mesure </w:t>
            </w:r>
          </w:p>
        </w:tc>
      </w:tr>
      <w:tr w:rsidR="00E259B4" w:rsidRPr="007C196D" w14:paraId="55EBEA47" w14:textId="77777777" w:rsidTr="00326A6C">
        <w:tc>
          <w:tcPr>
            <w:tcW w:w="425" w:type="dxa"/>
          </w:tcPr>
          <w:p w14:paraId="37E081E0"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5</w:t>
            </w:r>
          </w:p>
        </w:tc>
        <w:tc>
          <w:tcPr>
            <w:tcW w:w="4821" w:type="dxa"/>
          </w:tcPr>
          <w:p w14:paraId="3AE33AF4" w14:textId="060B590F" w:rsidR="00E259B4" w:rsidRPr="00326A6C" w:rsidRDefault="00C632CB" w:rsidP="00326A6C">
            <w:pPr>
              <w:jc w:val="both"/>
              <w:rPr>
                <w:rFonts w:ascii="Times New Roman" w:hAnsi="Times New Roman" w:cs="Times New Roman"/>
                <w:sz w:val="20"/>
                <w:szCs w:val="20"/>
              </w:rPr>
            </w:pPr>
            <w:r w:rsidRPr="00326A6C">
              <w:rPr>
                <w:rFonts w:ascii="Times New Roman" w:hAnsi="Times New Roman" w:cs="Times New Roman"/>
                <w:sz w:val="20"/>
                <w:szCs w:val="20"/>
              </w:rPr>
              <w:t>Prendre les</w:t>
            </w:r>
            <w:r w:rsidR="00E259B4" w:rsidRPr="00326A6C">
              <w:rPr>
                <w:rFonts w:ascii="Times New Roman" w:hAnsi="Times New Roman" w:cs="Times New Roman"/>
                <w:sz w:val="20"/>
                <w:szCs w:val="20"/>
              </w:rPr>
              <w:t xml:space="preserve"> dispositions utiles pour :</w:t>
            </w:r>
          </w:p>
          <w:p w14:paraId="3A596E8B" w14:textId="2EA69B15" w:rsidR="00E259B4" w:rsidRPr="00326A6C" w:rsidRDefault="00C632CB" w:rsidP="00E858A7">
            <w:pPr>
              <w:pStyle w:val="Paragraphedeliste"/>
              <w:numPr>
                <w:ilvl w:val="0"/>
                <w:numId w:val="7"/>
              </w:numPr>
              <w:ind w:left="0"/>
              <w:jc w:val="both"/>
              <w:rPr>
                <w:rFonts w:ascii="Times New Roman" w:eastAsiaTheme="minorEastAsia" w:hAnsi="Times New Roman" w:cs="Times New Roman"/>
                <w:sz w:val="20"/>
                <w:szCs w:val="20"/>
              </w:rPr>
            </w:pPr>
            <w:r w:rsidRPr="00326A6C">
              <w:rPr>
                <w:rFonts w:ascii="Times New Roman" w:eastAsiaTheme="minorEastAsia" w:hAnsi="Times New Roman" w:cs="Times New Roman"/>
                <w:sz w:val="20"/>
                <w:szCs w:val="20"/>
              </w:rPr>
              <w:t>Accélérer</w:t>
            </w:r>
            <w:r w:rsidR="00E259B4" w:rsidRPr="00326A6C">
              <w:rPr>
                <w:rFonts w:ascii="Times New Roman" w:eastAsiaTheme="minorEastAsia" w:hAnsi="Times New Roman" w:cs="Times New Roman"/>
                <w:sz w:val="20"/>
                <w:szCs w:val="20"/>
              </w:rPr>
              <w:t xml:space="preserve"> les procédures administratives et financières ;</w:t>
            </w:r>
          </w:p>
          <w:p w14:paraId="13F2A46A" w14:textId="11CE53E5" w:rsidR="00E259B4" w:rsidRPr="00326A6C" w:rsidRDefault="00C632CB" w:rsidP="00E858A7">
            <w:pPr>
              <w:pStyle w:val="Paragraphedeliste"/>
              <w:numPr>
                <w:ilvl w:val="0"/>
                <w:numId w:val="7"/>
              </w:numPr>
              <w:ind w:left="0"/>
              <w:jc w:val="both"/>
              <w:rPr>
                <w:rFonts w:ascii="Times New Roman" w:eastAsiaTheme="minorEastAsia" w:hAnsi="Times New Roman" w:cs="Times New Roman"/>
                <w:sz w:val="20"/>
                <w:szCs w:val="20"/>
              </w:rPr>
            </w:pPr>
            <w:r w:rsidRPr="00326A6C">
              <w:rPr>
                <w:rFonts w:ascii="Times New Roman" w:eastAsiaTheme="minorEastAsia" w:hAnsi="Times New Roman" w:cs="Times New Roman"/>
                <w:sz w:val="20"/>
                <w:szCs w:val="20"/>
              </w:rPr>
              <w:t>Procéder</w:t>
            </w:r>
            <w:r w:rsidR="00E259B4" w:rsidRPr="00326A6C">
              <w:rPr>
                <w:rFonts w:ascii="Times New Roman" w:eastAsiaTheme="minorEastAsia" w:hAnsi="Times New Roman" w:cs="Times New Roman"/>
                <w:sz w:val="20"/>
                <w:szCs w:val="20"/>
              </w:rPr>
              <w:t xml:space="preserve"> à une évaluation juste des indemnités ;</w:t>
            </w:r>
          </w:p>
          <w:p w14:paraId="5E9A28C8" w14:textId="3346B7B4" w:rsidR="00E259B4" w:rsidRPr="00326A6C" w:rsidRDefault="00C632CB" w:rsidP="00E858A7">
            <w:pPr>
              <w:pStyle w:val="Paragraphedeliste"/>
              <w:numPr>
                <w:ilvl w:val="0"/>
                <w:numId w:val="7"/>
              </w:numPr>
              <w:ind w:left="0"/>
              <w:jc w:val="both"/>
              <w:rPr>
                <w:rFonts w:ascii="Times New Roman" w:hAnsi="Times New Roman" w:cs="Times New Roman"/>
                <w:sz w:val="20"/>
                <w:szCs w:val="20"/>
              </w:rPr>
            </w:pPr>
            <w:r w:rsidRPr="00326A6C">
              <w:rPr>
                <w:rFonts w:ascii="Times New Roman" w:eastAsiaTheme="minorEastAsia" w:hAnsi="Times New Roman" w:cs="Times New Roman"/>
                <w:sz w:val="20"/>
                <w:szCs w:val="20"/>
              </w:rPr>
              <w:t>Rendre</w:t>
            </w:r>
            <w:r w:rsidR="00E259B4" w:rsidRPr="00326A6C">
              <w:rPr>
                <w:rFonts w:ascii="Times New Roman" w:eastAsiaTheme="minorEastAsia" w:hAnsi="Times New Roman" w:cs="Times New Roman"/>
                <w:sz w:val="20"/>
                <w:szCs w:val="20"/>
              </w:rPr>
              <w:t xml:space="preserve"> transparent l’ensemble du processus d’indemnisation</w:t>
            </w:r>
            <w:r w:rsidR="00E259B4" w:rsidRPr="00326A6C">
              <w:rPr>
                <w:rFonts w:ascii="Times New Roman" w:hAnsi="Times New Roman" w:cs="Times New Roman"/>
                <w:sz w:val="20"/>
                <w:szCs w:val="20"/>
              </w:rPr>
              <w:t> </w:t>
            </w:r>
          </w:p>
        </w:tc>
        <w:tc>
          <w:tcPr>
            <w:tcW w:w="1984" w:type="dxa"/>
          </w:tcPr>
          <w:p w14:paraId="5B1B7C49" w14:textId="3B8C2556"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Non pris</w:t>
            </w:r>
            <w:r w:rsidR="00330DFE"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487BF17B" w14:textId="77777777" w:rsidR="00E259B4" w:rsidRPr="00326A6C" w:rsidRDefault="00E259B4" w:rsidP="00326A6C">
            <w:pPr>
              <w:rPr>
                <w:rFonts w:ascii="Times New Roman" w:hAnsi="Times New Roman" w:cs="Times New Roman"/>
                <w:color w:val="000000" w:themeColor="text1"/>
                <w:sz w:val="20"/>
                <w:szCs w:val="20"/>
              </w:rPr>
            </w:pPr>
          </w:p>
        </w:tc>
      </w:tr>
      <w:tr w:rsidR="00E259B4" w:rsidRPr="007C196D" w14:paraId="17396F25" w14:textId="77777777" w:rsidTr="00326A6C">
        <w:tc>
          <w:tcPr>
            <w:tcW w:w="425" w:type="dxa"/>
          </w:tcPr>
          <w:p w14:paraId="56878387"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6</w:t>
            </w:r>
          </w:p>
        </w:tc>
        <w:tc>
          <w:tcPr>
            <w:tcW w:w="4821" w:type="dxa"/>
          </w:tcPr>
          <w:p w14:paraId="27CDB4CD" w14:textId="77777777" w:rsidR="00E259B4" w:rsidRPr="00326A6C" w:rsidRDefault="00E259B4" w:rsidP="00326A6C">
            <w:pPr>
              <w:jc w:val="both"/>
              <w:rPr>
                <w:rFonts w:ascii="Times New Roman" w:hAnsi="Times New Roman" w:cs="Times New Roman"/>
                <w:sz w:val="20"/>
                <w:szCs w:val="20"/>
              </w:rPr>
            </w:pPr>
            <w:r w:rsidRPr="00326A6C">
              <w:rPr>
                <w:rFonts w:ascii="Times New Roman" w:hAnsi="Times New Roman" w:cs="Times New Roman"/>
                <w:sz w:val="20"/>
                <w:szCs w:val="20"/>
              </w:rPr>
              <w:t xml:space="preserve">Rehausser la prévision et le niveau d’exécution de la dette et procéder à son apurement </w:t>
            </w:r>
          </w:p>
        </w:tc>
        <w:tc>
          <w:tcPr>
            <w:tcW w:w="1984" w:type="dxa"/>
          </w:tcPr>
          <w:p w14:paraId="199DDF63" w14:textId="1AC0170F"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Partiellement pris</w:t>
            </w:r>
            <w:r w:rsidR="00330DFE"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588F944F" w14:textId="6536236F" w:rsidR="00E259B4" w:rsidRPr="00326A6C" w:rsidRDefault="00330DFE"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Plus de 400Mds sont apurés à date</w:t>
            </w:r>
          </w:p>
        </w:tc>
      </w:tr>
      <w:tr w:rsidR="00E259B4" w:rsidRPr="007C196D" w14:paraId="722B5F7F" w14:textId="77777777" w:rsidTr="00326A6C">
        <w:trPr>
          <w:trHeight w:val="657"/>
        </w:trPr>
        <w:tc>
          <w:tcPr>
            <w:tcW w:w="425" w:type="dxa"/>
          </w:tcPr>
          <w:p w14:paraId="1169AD1F"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7</w:t>
            </w:r>
          </w:p>
        </w:tc>
        <w:tc>
          <w:tcPr>
            <w:tcW w:w="4821" w:type="dxa"/>
          </w:tcPr>
          <w:p w14:paraId="1E23271A" w14:textId="77777777" w:rsidR="00E259B4" w:rsidRPr="00326A6C" w:rsidRDefault="00E259B4" w:rsidP="00326A6C">
            <w:pPr>
              <w:jc w:val="both"/>
              <w:rPr>
                <w:rFonts w:ascii="Times New Roman" w:hAnsi="Times New Roman" w:cs="Times New Roman"/>
                <w:sz w:val="20"/>
                <w:szCs w:val="20"/>
              </w:rPr>
            </w:pPr>
            <w:r w:rsidRPr="00326A6C">
              <w:rPr>
                <w:rFonts w:ascii="Times New Roman" w:hAnsi="Times New Roman" w:cs="Times New Roman"/>
                <w:sz w:val="20"/>
                <w:szCs w:val="20"/>
              </w:rPr>
              <w:t xml:space="preserve">Prévoir le paiement des arriérés des enseignants contractuels </w:t>
            </w:r>
          </w:p>
        </w:tc>
        <w:tc>
          <w:tcPr>
            <w:tcW w:w="1984" w:type="dxa"/>
          </w:tcPr>
          <w:p w14:paraId="459FC3B2" w14:textId="0A813AF9"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Pris</w:t>
            </w:r>
            <w:r w:rsidR="00330DFE"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1D2366CC" w14:textId="62F24E2F" w:rsidR="00E259B4" w:rsidRPr="00326A6C" w:rsidRDefault="00E259B4"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 xml:space="preserve">77,33 Mds GNF sur 80 </w:t>
            </w:r>
            <w:r w:rsidR="00F91C48" w:rsidRPr="00326A6C">
              <w:rPr>
                <w:rFonts w:ascii="Times New Roman" w:hAnsi="Times New Roman" w:cs="Times New Roman"/>
                <w:color w:val="000000" w:themeColor="text1"/>
                <w:sz w:val="20"/>
                <w:szCs w:val="20"/>
              </w:rPr>
              <w:t>Mds sont</w:t>
            </w:r>
            <w:r w:rsidRPr="00326A6C">
              <w:rPr>
                <w:rFonts w:ascii="Times New Roman" w:hAnsi="Times New Roman" w:cs="Times New Roman"/>
                <w:color w:val="000000" w:themeColor="text1"/>
                <w:sz w:val="20"/>
                <w:szCs w:val="20"/>
              </w:rPr>
              <w:t xml:space="preserve"> payés au titre du règlement graduel des </w:t>
            </w:r>
            <w:r w:rsidRPr="00326A6C">
              <w:rPr>
                <w:rFonts w:ascii="Times New Roman" w:hAnsi="Times New Roman" w:cs="Times New Roman"/>
                <w:color w:val="000000" w:themeColor="text1"/>
                <w:sz w:val="20"/>
                <w:szCs w:val="20"/>
              </w:rPr>
              <w:lastRenderedPageBreak/>
              <w:t xml:space="preserve">primes des enseignants contractuels communaux. </w:t>
            </w:r>
          </w:p>
        </w:tc>
      </w:tr>
      <w:tr w:rsidR="00E259B4" w:rsidRPr="007C196D" w14:paraId="419E5D33" w14:textId="77777777" w:rsidTr="00326A6C">
        <w:trPr>
          <w:trHeight w:val="657"/>
        </w:trPr>
        <w:tc>
          <w:tcPr>
            <w:tcW w:w="425" w:type="dxa"/>
          </w:tcPr>
          <w:p w14:paraId="04FB7E9B"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lastRenderedPageBreak/>
              <w:t>8</w:t>
            </w:r>
          </w:p>
        </w:tc>
        <w:tc>
          <w:tcPr>
            <w:tcW w:w="4821" w:type="dxa"/>
          </w:tcPr>
          <w:p w14:paraId="3F34B057" w14:textId="635A7546" w:rsidR="00E259B4" w:rsidRPr="00326A6C" w:rsidRDefault="00C632CB" w:rsidP="00326A6C">
            <w:pPr>
              <w:jc w:val="both"/>
              <w:rPr>
                <w:rFonts w:ascii="Times New Roman" w:hAnsi="Times New Roman" w:cs="Times New Roman"/>
                <w:sz w:val="20"/>
                <w:szCs w:val="20"/>
              </w:rPr>
            </w:pPr>
            <w:r w:rsidRPr="00326A6C">
              <w:rPr>
                <w:rFonts w:ascii="Times New Roman" w:hAnsi="Times New Roman" w:cs="Times New Roman"/>
                <w:sz w:val="20"/>
                <w:szCs w:val="20"/>
              </w:rPr>
              <w:t>Augmenter le</w:t>
            </w:r>
            <w:r w:rsidR="00E259B4" w:rsidRPr="00326A6C">
              <w:rPr>
                <w:rFonts w:ascii="Times New Roman" w:hAnsi="Times New Roman" w:cs="Times New Roman"/>
                <w:sz w:val="20"/>
                <w:szCs w:val="20"/>
              </w:rPr>
              <w:t xml:space="preserve"> budget de la caisse nationale de prévoyance sociale.</w:t>
            </w:r>
          </w:p>
        </w:tc>
        <w:tc>
          <w:tcPr>
            <w:tcW w:w="1984" w:type="dxa"/>
          </w:tcPr>
          <w:p w14:paraId="635DBDA3" w14:textId="68FA4585"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Entièrement pris</w:t>
            </w:r>
            <w:r w:rsidR="00330DFE"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1E4113B9" w14:textId="6DAE57D5" w:rsidR="00E259B4" w:rsidRPr="00326A6C" w:rsidRDefault="00330DFE" w:rsidP="00326A6C">
            <w:pPr>
              <w:rPr>
                <w:rFonts w:ascii="Times New Roman" w:hAnsi="Times New Roman" w:cs="Times New Roman"/>
                <w:color w:val="000000" w:themeColor="text1"/>
                <w:sz w:val="20"/>
                <w:szCs w:val="20"/>
              </w:rPr>
            </w:pPr>
            <w:r w:rsidRPr="00326A6C">
              <w:rPr>
                <w:rFonts w:ascii="Times New Roman" w:hAnsi="Times New Roman" w:cs="Times New Roman"/>
                <w:color w:val="000000" w:themeColor="text1"/>
                <w:sz w:val="20"/>
                <w:szCs w:val="20"/>
              </w:rPr>
              <w:t xml:space="preserve">Une augmentation de 10 </w:t>
            </w:r>
            <w:r w:rsidR="00F91C48" w:rsidRPr="00326A6C">
              <w:rPr>
                <w:rFonts w:ascii="Times New Roman" w:hAnsi="Times New Roman" w:cs="Times New Roman"/>
                <w:color w:val="000000" w:themeColor="text1"/>
                <w:sz w:val="20"/>
                <w:szCs w:val="20"/>
              </w:rPr>
              <w:t>Mds a</w:t>
            </w:r>
            <w:r w:rsidRPr="00326A6C">
              <w:rPr>
                <w:rFonts w:ascii="Times New Roman" w:hAnsi="Times New Roman" w:cs="Times New Roman"/>
                <w:color w:val="000000" w:themeColor="text1"/>
                <w:sz w:val="20"/>
                <w:szCs w:val="20"/>
              </w:rPr>
              <w:t xml:space="preserve"> été constatée</w:t>
            </w:r>
          </w:p>
        </w:tc>
      </w:tr>
      <w:tr w:rsidR="00E259B4" w:rsidRPr="007C196D" w14:paraId="1D112323" w14:textId="77777777" w:rsidTr="00326A6C">
        <w:tc>
          <w:tcPr>
            <w:tcW w:w="425" w:type="dxa"/>
          </w:tcPr>
          <w:p w14:paraId="736A41D2"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9</w:t>
            </w:r>
          </w:p>
        </w:tc>
        <w:tc>
          <w:tcPr>
            <w:tcW w:w="4821" w:type="dxa"/>
          </w:tcPr>
          <w:p w14:paraId="4E6BFC64" w14:textId="039FAA2B" w:rsidR="00E259B4" w:rsidRPr="00326A6C" w:rsidRDefault="00C632CB" w:rsidP="00326A6C">
            <w:pPr>
              <w:jc w:val="lowKashida"/>
              <w:rPr>
                <w:rFonts w:ascii="Times New Roman" w:hAnsi="Times New Roman" w:cs="Times New Roman"/>
                <w:sz w:val="20"/>
                <w:szCs w:val="20"/>
              </w:rPr>
            </w:pPr>
            <w:r w:rsidRPr="00326A6C">
              <w:rPr>
                <w:rFonts w:ascii="Times New Roman" w:hAnsi="Times New Roman" w:cs="Times New Roman"/>
                <w:sz w:val="20"/>
                <w:szCs w:val="20"/>
              </w:rPr>
              <w:t>Diligenter un</w:t>
            </w:r>
            <w:r w:rsidR="00E259B4" w:rsidRPr="00326A6C">
              <w:rPr>
                <w:rFonts w:ascii="Times New Roman" w:hAnsi="Times New Roman" w:cs="Times New Roman"/>
                <w:sz w:val="20"/>
                <w:szCs w:val="20"/>
              </w:rPr>
              <w:t xml:space="preserve"> audit sur la construction du centre national orthopédique de Donka.</w:t>
            </w:r>
          </w:p>
        </w:tc>
        <w:tc>
          <w:tcPr>
            <w:tcW w:w="1984" w:type="dxa"/>
          </w:tcPr>
          <w:p w14:paraId="1FBE5FC6" w14:textId="7315C137" w:rsidR="00E259B4" w:rsidRPr="00326A6C" w:rsidRDefault="00330DFE" w:rsidP="00326A6C">
            <w:pPr>
              <w:rPr>
                <w:rFonts w:ascii="Times New Roman" w:hAnsi="Times New Roman" w:cs="Times New Roman"/>
                <w:sz w:val="20"/>
                <w:szCs w:val="20"/>
              </w:rPr>
            </w:pPr>
            <w:r w:rsidRPr="00326A6C">
              <w:rPr>
                <w:rFonts w:ascii="Times New Roman" w:hAnsi="Times New Roman" w:cs="Times New Roman"/>
                <w:sz w:val="20"/>
                <w:szCs w:val="20"/>
              </w:rPr>
              <w:t xml:space="preserve">Non prise en compte </w:t>
            </w:r>
          </w:p>
        </w:tc>
        <w:tc>
          <w:tcPr>
            <w:tcW w:w="3544" w:type="dxa"/>
            <w:vAlign w:val="center"/>
          </w:tcPr>
          <w:p w14:paraId="656CE16E" w14:textId="24A260CE" w:rsidR="00E259B4" w:rsidRPr="00326A6C" w:rsidRDefault="00E259B4" w:rsidP="00326A6C">
            <w:pPr>
              <w:rPr>
                <w:rFonts w:ascii="Times New Roman" w:hAnsi="Times New Roman" w:cs="Times New Roman"/>
                <w:color w:val="000000" w:themeColor="text1"/>
                <w:sz w:val="20"/>
                <w:szCs w:val="20"/>
              </w:rPr>
            </w:pPr>
          </w:p>
        </w:tc>
      </w:tr>
      <w:tr w:rsidR="00E259B4" w:rsidRPr="007C196D" w14:paraId="4B63E265" w14:textId="77777777" w:rsidTr="00326A6C">
        <w:tc>
          <w:tcPr>
            <w:tcW w:w="425" w:type="dxa"/>
          </w:tcPr>
          <w:p w14:paraId="357DB7F4" w14:textId="77777777" w:rsidR="00E259B4" w:rsidRPr="00326A6C" w:rsidRDefault="00E259B4" w:rsidP="00326A6C">
            <w:pPr>
              <w:ind w:right="-104" w:hanging="107"/>
              <w:rPr>
                <w:rFonts w:ascii="Times New Roman" w:hAnsi="Times New Roman" w:cs="Times New Roman"/>
                <w:sz w:val="20"/>
                <w:szCs w:val="20"/>
              </w:rPr>
            </w:pPr>
            <w:r w:rsidRPr="00326A6C">
              <w:rPr>
                <w:rFonts w:ascii="Times New Roman" w:hAnsi="Times New Roman" w:cs="Times New Roman"/>
                <w:sz w:val="20"/>
                <w:szCs w:val="20"/>
              </w:rPr>
              <w:t>10</w:t>
            </w:r>
          </w:p>
        </w:tc>
        <w:tc>
          <w:tcPr>
            <w:tcW w:w="4821" w:type="dxa"/>
          </w:tcPr>
          <w:p w14:paraId="3306D4FF" w14:textId="2DA37753" w:rsidR="00E259B4" w:rsidRPr="00326A6C" w:rsidRDefault="00C632CB" w:rsidP="00326A6C">
            <w:pPr>
              <w:jc w:val="lowKashida"/>
              <w:rPr>
                <w:rFonts w:ascii="Times New Roman" w:hAnsi="Times New Roman" w:cs="Times New Roman"/>
                <w:sz w:val="20"/>
                <w:szCs w:val="20"/>
              </w:rPr>
            </w:pPr>
            <w:r w:rsidRPr="00326A6C">
              <w:rPr>
                <w:rFonts w:ascii="Times New Roman" w:hAnsi="Times New Roman" w:cs="Times New Roman"/>
                <w:sz w:val="20"/>
                <w:szCs w:val="20"/>
              </w:rPr>
              <w:t>Poursuivre les</w:t>
            </w:r>
            <w:r w:rsidR="00E259B4" w:rsidRPr="00326A6C">
              <w:rPr>
                <w:rFonts w:ascii="Times New Roman" w:hAnsi="Times New Roman" w:cs="Times New Roman"/>
                <w:sz w:val="20"/>
                <w:szCs w:val="20"/>
              </w:rPr>
              <w:t xml:space="preserve"> </w:t>
            </w:r>
            <w:r w:rsidR="00F91C48" w:rsidRPr="00326A6C">
              <w:rPr>
                <w:rFonts w:ascii="Times New Roman" w:hAnsi="Times New Roman" w:cs="Times New Roman"/>
                <w:sz w:val="20"/>
                <w:szCs w:val="20"/>
              </w:rPr>
              <w:t>travaux de</w:t>
            </w:r>
            <w:r w:rsidR="00E259B4" w:rsidRPr="00326A6C">
              <w:rPr>
                <w:rFonts w:ascii="Times New Roman" w:hAnsi="Times New Roman" w:cs="Times New Roman"/>
                <w:sz w:val="20"/>
                <w:szCs w:val="20"/>
              </w:rPr>
              <w:t xml:space="preserve"> construction et/ou rénovation des ambassades et l’acquisition des chancelleries, résidences et consulats dont les contrats sont déjà signés.</w:t>
            </w:r>
          </w:p>
        </w:tc>
        <w:tc>
          <w:tcPr>
            <w:tcW w:w="1984" w:type="dxa"/>
          </w:tcPr>
          <w:p w14:paraId="28260DCF"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bCs/>
                <w:color w:val="000000"/>
                <w:sz w:val="20"/>
                <w:szCs w:val="20"/>
              </w:rPr>
              <w:t xml:space="preserve">En cours d’exécution  </w:t>
            </w:r>
          </w:p>
        </w:tc>
        <w:tc>
          <w:tcPr>
            <w:tcW w:w="3544" w:type="dxa"/>
            <w:vAlign w:val="center"/>
          </w:tcPr>
          <w:p w14:paraId="56EC8980" w14:textId="77777777" w:rsidR="00E259B4" w:rsidRPr="00326A6C" w:rsidRDefault="00E259B4" w:rsidP="00326A6C">
            <w:pPr>
              <w:rPr>
                <w:rFonts w:ascii="Times New Roman" w:hAnsi="Times New Roman" w:cs="Times New Roman"/>
                <w:color w:val="000000" w:themeColor="text1"/>
                <w:sz w:val="20"/>
                <w:szCs w:val="20"/>
              </w:rPr>
            </w:pPr>
          </w:p>
        </w:tc>
      </w:tr>
      <w:tr w:rsidR="00E259B4" w:rsidRPr="007C196D" w14:paraId="13EE6343" w14:textId="77777777" w:rsidTr="00326A6C">
        <w:tc>
          <w:tcPr>
            <w:tcW w:w="425" w:type="dxa"/>
          </w:tcPr>
          <w:p w14:paraId="51F10FF0" w14:textId="77777777" w:rsidR="00E259B4" w:rsidRPr="00326A6C" w:rsidRDefault="00E259B4" w:rsidP="00326A6C">
            <w:pPr>
              <w:ind w:right="-104" w:hanging="107"/>
              <w:rPr>
                <w:rFonts w:ascii="Times New Roman" w:hAnsi="Times New Roman" w:cs="Times New Roman"/>
                <w:sz w:val="20"/>
                <w:szCs w:val="20"/>
              </w:rPr>
            </w:pPr>
            <w:r w:rsidRPr="00326A6C">
              <w:rPr>
                <w:rFonts w:ascii="Times New Roman" w:hAnsi="Times New Roman" w:cs="Times New Roman"/>
                <w:sz w:val="20"/>
                <w:szCs w:val="20"/>
              </w:rPr>
              <w:t>11</w:t>
            </w:r>
          </w:p>
        </w:tc>
        <w:tc>
          <w:tcPr>
            <w:tcW w:w="4821" w:type="dxa"/>
          </w:tcPr>
          <w:p w14:paraId="27FD3C76" w14:textId="77777777" w:rsidR="00E259B4" w:rsidRPr="00326A6C" w:rsidRDefault="00E259B4" w:rsidP="00326A6C">
            <w:pPr>
              <w:jc w:val="lowKashida"/>
              <w:rPr>
                <w:rFonts w:ascii="Times New Roman" w:hAnsi="Times New Roman" w:cs="Times New Roman"/>
                <w:sz w:val="20"/>
                <w:szCs w:val="20"/>
              </w:rPr>
            </w:pPr>
            <w:r w:rsidRPr="00326A6C">
              <w:rPr>
                <w:rFonts w:ascii="Times New Roman" w:hAnsi="Times New Roman" w:cs="Times New Roman"/>
                <w:sz w:val="20"/>
                <w:szCs w:val="20"/>
              </w:rPr>
              <w:t>Accompagner la SEG dans le renouvèlement de ses installations</w:t>
            </w:r>
          </w:p>
        </w:tc>
        <w:tc>
          <w:tcPr>
            <w:tcW w:w="1984" w:type="dxa"/>
          </w:tcPr>
          <w:p w14:paraId="39053F47" w14:textId="31BEC2FF"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Non pris</w:t>
            </w:r>
            <w:r w:rsidR="003D016F"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19595A6A" w14:textId="77777777" w:rsidR="00E259B4" w:rsidRPr="00326A6C" w:rsidRDefault="00E259B4" w:rsidP="00326A6C">
            <w:pPr>
              <w:rPr>
                <w:rFonts w:ascii="Times New Roman" w:hAnsi="Times New Roman" w:cs="Times New Roman"/>
                <w:color w:val="000000" w:themeColor="text1"/>
                <w:sz w:val="20"/>
                <w:szCs w:val="20"/>
              </w:rPr>
            </w:pPr>
          </w:p>
        </w:tc>
      </w:tr>
      <w:tr w:rsidR="00E259B4" w:rsidRPr="007C196D" w14:paraId="2880CB3F" w14:textId="77777777" w:rsidTr="00326A6C">
        <w:tc>
          <w:tcPr>
            <w:tcW w:w="425" w:type="dxa"/>
          </w:tcPr>
          <w:p w14:paraId="3B62B125" w14:textId="77777777" w:rsidR="00E259B4" w:rsidRPr="00326A6C" w:rsidRDefault="00E259B4" w:rsidP="00326A6C">
            <w:pPr>
              <w:ind w:right="-104" w:hanging="107"/>
              <w:rPr>
                <w:rFonts w:ascii="Times New Roman" w:hAnsi="Times New Roman" w:cs="Times New Roman"/>
                <w:sz w:val="20"/>
                <w:szCs w:val="20"/>
              </w:rPr>
            </w:pPr>
            <w:r w:rsidRPr="00326A6C">
              <w:rPr>
                <w:rFonts w:ascii="Times New Roman" w:hAnsi="Times New Roman" w:cs="Times New Roman"/>
                <w:sz w:val="20"/>
                <w:szCs w:val="20"/>
              </w:rPr>
              <w:t>12</w:t>
            </w:r>
          </w:p>
        </w:tc>
        <w:tc>
          <w:tcPr>
            <w:tcW w:w="4821" w:type="dxa"/>
          </w:tcPr>
          <w:p w14:paraId="5432ADEF" w14:textId="77777777" w:rsidR="00E259B4" w:rsidRPr="00326A6C" w:rsidRDefault="00E259B4" w:rsidP="00326A6C">
            <w:pPr>
              <w:jc w:val="lowKashida"/>
              <w:rPr>
                <w:rFonts w:ascii="Times New Roman" w:hAnsi="Times New Roman" w:cs="Times New Roman"/>
                <w:sz w:val="20"/>
                <w:szCs w:val="20"/>
              </w:rPr>
            </w:pPr>
            <w:r w:rsidRPr="00326A6C">
              <w:rPr>
                <w:rFonts w:ascii="Times New Roman" w:hAnsi="Times New Roman" w:cs="Times New Roman"/>
                <w:sz w:val="20"/>
                <w:szCs w:val="20"/>
              </w:rPr>
              <w:t xml:space="preserve">Prendre en compte l’achèvement des infrastructures des fêtes tournantes </w:t>
            </w:r>
          </w:p>
        </w:tc>
        <w:tc>
          <w:tcPr>
            <w:tcW w:w="1984" w:type="dxa"/>
          </w:tcPr>
          <w:p w14:paraId="37478D54" w14:textId="7E4B84EE"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Non pris</w:t>
            </w:r>
            <w:r w:rsidR="003D016F"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4F05B1BF" w14:textId="77777777" w:rsidR="00E259B4" w:rsidRPr="00326A6C" w:rsidRDefault="00E259B4" w:rsidP="00326A6C">
            <w:pPr>
              <w:rPr>
                <w:rFonts w:ascii="Times New Roman" w:hAnsi="Times New Roman" w:cs="Times New Roman"/>
                <w:color w:val="000000"/>
                <w:sz w:val="20"/>
                <w:szCs w:val="20"/>
              </w:rPr>
            </w:pPr>
          </w:p>
        </w:tc>
      </w:tr>
      <w:tr w:rsidR="00E259B4" w:rsidRPr="007C196D" w14:paraId="5655936E" w14:textId="77777777" w:rsidTr="00326A6C">
        <w:tc>
          <w:tcPr>
            <w:tcW w:w="425" w:type="dxa"/>
          </w:tcPr>
          <w:p w14:paraId="70020813" w14:textId="77777777" w:rsidR="00E259B4" w:rsidRPr="00326A6C" w:rsidRDefault="00E259B4" w:rsidP="00326A6C">
            <w:pPr>
              <w:ind w:right="-104" w:hanging="107"/>
              <w:rPr>
                <w:rFonts w:ascii="Times New Roman" w:hAnsi="Times New Roman" w:cs="Times New Roman"/>
                <w:sz w:val="20"/>
                <w:szCs w:val="20"/>
              </w:rPr>
            </w:pPr>
            <w:r w:rsidRPr="00326A6C">
              <w:rPr>
                <w:rFonts w:ascii="Times New Roman" w:hAnsi="Times New Roman" w:cs="Times New Roman"/>
                <w:sz w:val="20"/>
                <w:szCs w:val="20"/>
              </w:rPr>
              <w:t>13</w:t>
            </w:r>
          </w:p>
        </w:tc>
        <w:tc>
          <w:tcPr>
            <w:tcW w:w="4821" w:type="dxa"/>
          </w:tcPr>
          <w:p w14:paraId="18FCB917" w14:textId="77777777" w:rsidR="00E259B4" w:rsidRPr="00326A6C" w:rsidRDefault="00E259B4" w:rsidP="00326A6C">
            <w:pPr>
              <w:jc w:val="both"/>
              <w:rPr>
                <w:rFonts w:ascii="Times New Roman" w:hAnsi="Times New Roman" w:cs="Times New Roman"/>
                <w:color w:val="000000"/>
                <w:sz w:val="20"/>
                <w:szCs w:val="20"/>
              </w:rPr>
            </w:pPr>
            <w:r w:rsidRPr="00326A6C">
              <w:rPr>
                <w:rFonts w:ascii="Times New Roman" w:hAnsi="Times New Roman" w:cs="Times New Roman"/>
                <w:bCs/>
                <w:color w:val="000000"/>
                <w:sz w:val="20"/>
                <w:szCs w:val="20"/>
              </w:rPr>
              <w:t>Renforcer et à accélérer la construction des routes préfectorales dans les zones à fort potentiel agricole.</w:t>
            </w:r>
          </w:p>
        </w:tc>
        <w:tc>
          <w:tcPr>
            <w:tcW w:w="1984" w:type="dxa"/>
          </w:tcPr>
          <w:p w14:paraId="32556852" w14:textId="77777777"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 xml:space="preserve">En cours d’exécution </w:t>
            </w:r>
          </w:p>
        </w:tc>
        <w:tc>
          <w:tcPr>
            <w:tcW w:w="3544" w:type="dxa"/>
            <w:vAlign w:val="center"/>
          </w:tcPr>
          <w:p w14:paraId="118FD7C6" w14:textId="1A4B92F0" w:rsidR="00E259B4" w:rsidRPr="00326A6C" w:rsidRDefault="00E259B4" w:rsidP="00326A6C">
            <w:pPr>
              <w:rPr>
                <w:rFonts w:ascii="Times New Roman" w:hAnsi="Times New Roman" w:cs="Times New Roman"/>
                <w:color w:val="000000"/>
                <w:sz w:val="20"/>
                <w:szCs w:val="20"/>
              </w:rPr>
            </w:pPr>
            <w:r w:rsidRPr="00326A6C">
              <w:rPr>
                <w:rFonts w:ascii="Times New Roman" w:hAnsi="Times New Roman" w:cs="Times New Roman"/>
                <w:sz w:val="20"/>
                <w:szCs w:val="20"/>
              </w:rPr>
              <w:t>Sur un crédit de 63,28 Mds en LFR 2023, 58,51 Mds sont engagés et 14,97 Mds payés au 06 décembre 2023.</w:t>
            </w:r>
            <w:r w:rsidR="003D016F" w:rsidRPr="00326A6C">
              <w:rPr>
                <w:rFonts w:ascii="Times New Roman" w:hAnsi="Times New Roman" w:cs="Times New Roman"/>
                <w:sz w:val="20"/>
                <w:szCs w:val="20"/>
              </w:rPr>
              <w:t xml:space="preserve"> Un crédit de 100 Mds a été affecté à la direction dans</w:t>
            </w:r>
            <w:r w:rsidR="00B062DA">
              <w:rPr>
                <w:rFonts w:ascii="Times New Roman" w:hAnsi="Times New Roman" w:cs="Times New Roman"/>
                <w:sz w:val="20"/>
                <w:szCs w:val="20"/>
              </w:rPr>
              <w:t xml:space="preserve"> la</w:t>
            </w:r>
            <w:r w:rsidR="003D016F" w:rsidRPr="00326A6C">
              <w:rPr>
                <w:rFonts w:ascii="Times New Roman" w:hAnsi="Times New Roman" w:cs="Times New Roman"/>
                <w:sz w:val="20"/>
                <w:szCs w:val="20"/>
              </w:rPr>
              <w:t xml:space="preserve"> LFI 2024</w:t>
            </w:r>
          </w:p>
        </w:tc>
      </w:tr>
      <w:tr w:rsidR="00E259B4" w:rsidRPr="007C196D" w14:paraId="2083B1C8" w14:textId="77777777" w:rsidTr="00326A6C">
        <w:tc>
          <w:tcPr>
            <w:tcW w:w="425" w:type="dxa"/>
          </w:tcPr>
          <w:p w14:paraId="2C05CE43" w14:textId="77777777" w:rsidR="00E259B4" w:rsidRPr="00326A6C" w:rsidRDefault="00E259B4" w:rsidP="00326A6C">
            <w:pPr>
              <w:ind w:right="-104" w:hanging="107"/>
              <w:rPr>
                <w:rFonts w:ascii="Times New Roman" w:hAnsi="Times New Roman" w:cs="Times New Roman"/>
                <w:sz w:val="20"/>
                <w:szCs w:val="20"/>
              </w:rPr>
            </w:pPr>
            <w:r w:rsidRPr="00326A6C">
              <w:rPr>
                <w:rFonts w:ascii="Times New Roman" w:hAnsi="Times New Roman" w:cs="Times New Roman"/>
                <w:sz w:val="20"/>
                <w:szCs w:val="20"/>
              </w:rPr>
              <w:t>14</w:t>
            </w:r>
          </w:p>
        </w:tc>
        <w:tc>
          <w:tcPr>
            <w:tcW w:w="4821" w:type="dxa"/>
          </w:tcPr>
          <w:p w14:paraId="75C69802" w14:textId="77777777"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Augmenter les primes mensuelles des préfets et sous-préfets.</w:t>
            </w:r>
          </w:p>
        </w:tc>
        <w:tc>
          <w:tcPr>
            <w:tcW w:w="1984" w:type="dxa"/>
          </w:tcPr>
          <w:p w14:paraId="5EC2835B" w14:textId="03050831"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Pris</w:t>
            </w:r>
            <w:r w:rsidR="003D016F"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673612FF" w14:textId="5BEC2829" w:rsidR="00E259B4" w:rsidRPr="00326A6C" w:rsidRDefault="003D016F" w:rsidP="00326A6C">
            <w:pPr>
              <w:rPr>
                <w:rFonts w:ascii="Times New Roman" w:hAnsi="Times New Roman" w:cs="Times New Roman"/>
                <w:color w:val="000000"/>
                <w:sz w:val="20"/>
                <w:szCs w:val="20"/>
              </w:rPr>
            </w:pPr>
            <w:r w:rsidRPr="00326A6C">
              <w:rPr>
                <w:rFonts w:ascii="Times New Roman" w:hAnsi="Times New Roman" w:cs="Times New Roman"/>
                <w:color w:val="000000"/>
                <w:sz w:val="20"/>
                <w:szCs w:val="20"/>
              </w:rPr>
              <w:t xml:space="preserve">Cette allocation a été triplée </w:t>
            </w:r>
          </w:p>
        </w:tc>
      </w:tr>
      <w:tr w:rsidR="00E259B4" w:rsidRPr="007C196D" w14:paraId="09CAD7DB" w14:textId="77777777" w:rsidTr="00326A6C">
        <w:tc>
          <w:tcPr>
            <w:tcW w:w="425" w:type="dxa"/>
          </w:tcPr>
          <w:p w14:paraId="774803C5"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15</w:t>
            </w:r>
          </w:p>
        </w:tc>
        <w:tc>
          <w:tcPr>
            <w:tcW w:w="4821" w:type="dxa"/>
          </w:tcPr>
          <w:p w14:paraId="20C58CA9" w14:textId="523053AD"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Rattacher l’ANIES au </w:t>
            </w:r>
            <w:r w:rsidR="00F91C48" w:rsidRPr="00326A6C">
              <w:rPr>
                <w:rFonts w:ascii="Times New Roman" w:hAnsi="Times New Roman" w:cs="Times New Roman"/>
                <w:bCs/>
                <w:color w:val="000000"/>
                <w:sz w:val="20"/>
                <w:szCs w:val="20"/>
              </w:rPr>
              <w:t>ministère de la Promotion</w:t>
            </w:r>
            <w:r w:rsidRPr="00326A6C">
              <w:rPr>
                <w:rFonts w:ascii="Times New Roman" w:hAnsi="Times New Roman" w:cs="Times New Roman"/>
                <w:bCs/>
                <w:color w:val="000000"/>
                <w:sz w:val="20"/>
                <w:szCs w:val="20"/>
              </w:rPr>
              <w:t xml:space="preserve"> féminine, de l’enfance et des personnes vulnérables </w:t>
            </w:r>
            <w:r w:rsidR="00B062DA">
              <w:rPr>
                <w:rFonts w:ascii="Times New Roman" w:hAnsi="Times New Roman" w:cs="Times New Roman"/>
                <w:bCs/>
                <w:color w:val="000000"/>
                <w:sz w:val="20"/>
                <w:szCs w:val="20"/>
              </w:rPr>
              <w:t>qui a</w:t>
            </w:r>
            <w:r w:rsidRPr="00326A6C">
              <w:rPr>
                <w:rFonts w:ascii="Times New Roman" w:hAnsi="Times New Roman" w:cs="Times New Roman"/>
                <w:bCs/>
                <w:color w:val="000000"/>
                <w:sz w:val="20"/>
                <w:szCs w:val="20"/>
              </w:rPr>
              <w:t xml:space="preserve"> le même champ d’action.</w:t>
            </w:r>
          </w:p>
        </w:tc>
        <w:tc>
          <w:tcPr>
            <w:tcW w:w="1984" w:type="dxa"/>
          </w:tcPr>
          <w:p w14:paraId="55B1FF0B" w14:textId="4422B84C" w:rsidR="00E259B4" w:rsidRPr="00326A6C" w:rsidRDefault="00E259B4" w:rsidP="00326A6C">
            <w:pPr>
              <w:rPr>
                <w:rFonts w:ascii="Times New Roman" w:hAnsi="Times New Roman" w:cs="Times New Roman"/>
                <w:sz w:val="20"/>
                <w:szCs w:val="20"/>
              </w:rPr>
            </w:pPr>
            <w:r w:rsidRPr="00326A6C">
              <w:rPr>
                <w:rFonts w:ascii="Times New Roman" w:hAnsi="Times New Roman" w:cs="Times New Roman"/>
                <w:sz w:val="20"/>
                <w:szCs w:val="20"/>
              </w:rPr>
              <w:t>Non pris</w:t>
            </w:r>
            <w:r w:rsidR="003D016F" w:rsidRPr="00326A6C">
              <w:rPr>
                <w:rFonts w:ascii="Times New Roman" w:hAnsi="Times New Roman" w:cs="Times New Roman"/>
                <w:sz w:val="20"/>
                <w:szCs w:val="20"/>
              </w:rPr>
              <w:t>e</w:t>
            </w:r>
            <w:r w:rsidRPr="00326A6C">
              <w:rPr>
                <w:rFonts w:ascii="Times New Roman" w:hAnsi="Times New Roman" w:cs="Times New Roman"/>
                <w:sz w:val="20"/>
                <w:szCs w:val="20"/>
              </w:rPr>
              <w:t xml:space="preserve"> en compte </w:t>
            </w:r>
          </w:p>
        </w:tc>
        <w:tc>
          <w:tcPr>
            <w:tcW w:w="3544" w:type="dxa"/>
            <w:vAlign w:val="center"/>
          </w:tcPr>
          <w:p w14:paraId="2892260F" w14:textId="77777777" w:rsidR="00E259B4" w:rsidRPr="00326A6C" w:rsidRDefault="00E259B4" w:rsidP="00326A6C">
            <w:pPr>
              <w:rPr>
                <w:rFonts w:ascii="Times New Roman" w:hAnsi="Times New Roman" w:cs="Times New Roman"/>
                <w:color w:val="000000"/>
                <w:sz w:val="20"/>
                <w:szCs w:val="20"/>
              </w:rPr>
            </w:pPr>
          </w:p>
        </w:tc>
      </w:tr>
      <w:tr w:rsidR="00E259B4" w:rsidRPr="007C196D" w14:paraId="2C1095DD" w14:textId="77777777" w:rsidTr="00326A6C">
        <w:tc>
          <w:tcPr>
            <w:tcW w:w="425" w:type="dxa"/>
          </w:tcPr>
          <w:p w14:paraId="45C7AE32"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16</w:t>
            </w:r>
          </w:p>
        </w:tc>
        <w:tc>
          <w:tcPr>
            <w:tcW w:w="4821" w:type="dxa"/>
          </w:tcPr>
          <w:p w14:paraId="18729280" w14:textId="6B8BC6ED" w:rsidR="00E259B4" w:rsidRPr="00326A6C" w:rsidRDefault="00E259B4" w:rsidP="00326A6C">
            <w:pPr>
              <w:pStyle w:val="NormalWeb"/>
              <w:spacing w:before="0" w:beforeAutospacing="0" w:after="0" w:afterAutospacing="0"/>
              <w:jc w:val="both"/>
              <w:rPr>
                <w:bCs/>
                <w:color w:val="000000"/>
                <w:sz w:val="20"/>
                <w:szCs w:val="20"/>
              </w:rPr>
            </w:pPr>
            <w:r w:rsidRPr="00326A6C">
              <w:rPr>
                <w:bCs/>
                <w:color w:val="000000"/>
                <w:sz w:val="20"/>
                <w:szCs w:val="20"/>
              </w:rPr>
              <w:t>Contraindre les producteurs des statistiques à la certification</w:t>
            </w:r>
            <w:r w:rsidR="00B062DA">
              <w:rPr>
                <w:bCs/>
                <w:color w:val="000000"/>
                <w:sz w:val="20"/>
                <w:szCs w:val="20"/>
              </w:rPr>
              <w:t>,</w:t>
            </w:r>
            <w:r w:rsidRPr="00326A6C">
              <w:rPr>
                <w:bCs/>
                <w:color w:val="000000"/>
                <w:sz w:val="20"/>
                <w:szCs w:val="20"/>
              </w:rPr>
              <w:t xml:space="preserve"> en amont desdites données</w:t>
            </w:r>
            <w:r w:rsidR="00EE20BB">
              <w:rPr>
                <w:bCs/>
                <w:color w:val="000000"/>
                <w:sz w:val="20"/>
                <w:szCs w:val="20"/>
              </w:rPr>
              <w:t>,</w:t>
            </w:r>
            <w:r w:rsidRPr="00326A6C">
              <w:rPr>
                <w:bCs/>
                <w:color w:val="000000"/>
                <w:sz w:val="20"/>
                <w:szCs w:val="20"/>
              </w:rPr>
              <w:t xml:space="preserve"> par l’INS avant toute diffusion.</w:t>
            </w:r>
          </w:p>
        </w:tc>
        <w:tc>
          <w:tcPr>
            <w:tcW w:w="1984" w:type="dxa"/>
          </w:tcPr>
          <w:p w14:paraId="7E6B0646" w14:textId="0DCD8264"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Non pris</w:t>
            </w:r>
            <w:r w:rsidR="003D016F"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vAlign w:val="center"/>
          </w:tcPr>
          <w:p w14:paraId="76CAEFDF" w14:textId="77777777" w:rsidR="00E259B4" w:rsidRPr="00326A6C" w:rsidRDefault="00E259B4" w:rsidP="00326A6C">
            <w:pPr>
              <w:rPr>
                <w:rFonts w:ascii="Times New Roman" w:hAnsi="Times New Roman" w:cs="Times New Roman"/>
                <w:color w:val="000000"/>
                <w:sz w:val="20"/>
                <w:szCs w:val="20"/>
              </w:rPr>
            </w:pPr>
          </w:p>
          <w:p w14:paraId="62613F43" w14:textId="77777777" w:rsidR="000D70D5" w:rsidRPr="00326A6C" w:rsidRDefault="000D70D5" w:rsidP="00326A6C">
            <w:pPr>
              <w:rPr>
                <w:rFonts w:ascii="Times New Roman" w:hAnsi="Times New Roman" w:cs="Times New Roman"/>
                <w:color w:val="000000"/>
                <w:sz w:val="20"/>
                <w:szCs w:val="20"/>
              </w:rPr>
            </w:pPr>
          </w:p>
          <w:p w14:paraId="47C4D3EB" w14:textId="77777777" w:rsidR="000D70D5" w:rsidRPr="00326A6C" w:rsidRDefault="000D70D5" w:rsidP="00326A6C">
            <w:pPr>
              <w:rPr>
                <w:rFonts w:ascii="Times New Roman" w:hAnsi="Times New Roman" w:cs="Times New Roman"/>
                <w:color w:val="000000"/>
                <w:sz w:val="20"/>
                <w:szCs w:val="20"/>
              </w:rPr>
            </w:pPr>
          </w:p>
          <w:p w14:paraId="6ADC9A19" w14:textId="77777777" w:rsidR="000D70D5" w:rsidRPr="00326A6C" w:rsidRDefault="000D70D5" w:rsidP="00326A6C">
            <w:pPr>
              <w:rPr>
                <w:rFonts w:ascii="Times New Roman" w:hAnsi="Times New Roman" w:cs="Times New Roman"/>
                <w:color w:val="000000"/>
                <w:sz w:val="20"/>
                <w:szCs w:val="20"/>
              </w:rPr>
            </w:pPr>
          </w:p>
        </w:tc>
      </w:tr>
      <w:tr w:rsidR="00E259B4" w:rsidRPr="007C196D" w14:paraId="780CE158" w14:textId="77777777" w:rsidTr="00326A6C">
        <w:tc>
          <w:tcPr>
            <w:tcW w:w="425" w:type="dxa"/>
          </w:tcPr>
          <w:p w14:paraId="1351FE9A"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17</w:t>
            </w:r>
          </w:p>
        </w:tc>
        <w:tc>
          <w:tcPr>
            <w:tcW w:w="4821" w:type="dxa"/>
          </w:tcPr>
          <w:p w14:paraId="4BA12014" w14:textId="6C5B6D81" w:rsidR="00E259B4" w:rsidRPr="00326A6C" w:rsidRDefault="00E259B4" w:rsidP="00326A6C">
            <w:pPr>
              <w:pStyle w:val="NormalWeb"/>
              <w:spacing w:before="0" w:beforeAutospacing="0" w:after="0" w:afterAutospacing="0"/>
              <w:jc w:val="both"/>
              <w:rPr>
                <w:bCs/>
                <w:color w:val="000000"/>
                <w:sz w:val="20"/>
                <w:szCs w:val="20"/>
              </w:rPr>
            </w:pPr>
            <w:r w:rsidRPr="00326A6C">
              <w:rPr>
                <w:bCs/>
                <w:color w:val="000000"/>
                <w:sz w:val="20"/>
                <w:szCs w:val="20"/>
              </w:rPr>
              <w:t xml:space="preserve">Augmenter le budget du </w:t>
            </w:r>
            <w:r w:rsidR="00F91C48" w:rsidRPr="00326A6C">
              <w:rPr>
                <w:bCs/>
                <w:color w:val="000000"/>
                <w:sz w:val="20"/>
                <w:szCs w:val="20"/>
              </w:rPr>
              <w:t>ministère de la Santé</w:t>
            </w:r>
            <w:r w:rsidRPr="00326A6C">
              <w:rPr>
                <w:bCs/>
                <w:color w:val="000000"/>
                <w:sz w:val="20"/>
                <w:szCs w:val="20"/>
              </w:rPr>
              <w:t xml:space="preserve"> de 4,83% du budget global</w:t>
            </w:r>
            <w:r w:rsidR="00EE20BB">
              <w:rPr>
                <w:bCs/>
                <w:color w:val="000000"/>
                <w:sz w:val="20"/>
                <w:szCs w:val="20"/>
              </w:rPr>
              <w:t>,</w:t>
            </w:r>
            <w:r w:rsidRPr="00326A6C">
              <w:rPr>
                <w:bCs/>
                <w:color w:val="000000"/>
                <w:sz w:val="20"/>
                <w:szCs w:val="20"/>
              </w:rPr>
              <w:t xml:space="preserve"> très loin de la moyenne sous régionale (12%) et celle de l’OMS (15%).</w:t>
            </w:r>
          </w:p>
        </w:tc>
        <w:tc>
          <w:tcPr>
            <w:tcW w:w="1984" w:type="dxa"/>
          </w:tcPr>
          <w:p w14:paraId="7F5879B3" w14:textId="401B2AD3" w:rsidR="00E259B4" w:rsidRPr="00326A6C" w:rsidRDefault="003D016F"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Partiellement prise en compte </w:t>
            </w:r>
          </w:p>
        </w:tc>
        <w:tc>
          <w:tcPr>
            <w:tcW w:w="3544" w:type="dxa"/>
            <w:vAlign w:val="center"/>
          </w:tcPr>
          <w:p w14:paraId="0041D173" w14:textId="6FE2483D" w:rsidR="00E259B4" w:rsidRPr="00326A6C" w:rsidRDefault="00E259B4" w:rsidP="00326A6C">
            <w:pPr>
              <w:rPr>
                <w:rFonts w:ascii="Times New Roman" w:hAnsi="Times New Roman" w:cs="Times New Roman"/>
                <w:bCs/>
                <w:sz w:val="20"/>
                <w:szCs w:val="20"/>
              </w:rPr>
            </w:pPr>
            <w:r w:rsidRPr="00326A6C">
              <w:rPr>
                <w:rFonts w:ascii="Times New Roman" w:hAnsi="Times New Roman" w:cs="Times New Roman"/>
                <w:bCs/>
                <w:sz w:val="20"/>
                <w:szCs w:val="20"/>
              </w:rPr>
              <w:t xml:space="preserve"> </w:t>
            </w:r>
            <w:r w:rsidR="00F91C48" w:rsidRPr="00326A6C">
              <w:rPr>
                <w:rFonts w:ascii="Times New Roman" w:hAnsi="Times New Roman" w:cs="Times New Roman"/>
                <w:bCs/>
                <w:sz w:val="20"/>
                <w:szCs w:val="20"/>
              </w:rPr>
              <w:t>Passe</w:t>
            </w:r>
            <w:r w:rsidRPr="00326A6C">
              <w:rPr>
                <w:rFonts w:ascii="Times New Roman" w:hAnsi="Times New Roman" w:cs="Times New Roman"/>
                <w:bCs/>
                <w:sz w:val="20"/>
                <w:szCs w:val="20"/>
              </w:rPr>
              <w:t xml:space="preserve"> de 4,83% à 5,90%</w:t>
            </w:r>
          </w:p>
        </w:tc>
      </w:tr>
      <w:tr w:rsidR="00E259B4" w:rsidRPr="007C196D" w14:paraId="5C9785C0" w14:textId="77777777" w:rsidTr="00326A6C">
        <w:tc>
          <w:tcPr>
            <w:tcW w:w="425" w:type="dxa"/>
          </w:tcPr>
          <w:p w14:paraId="212DF27F"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18</w:t>
            </w:r>
          </w:p>
        </w:tc>
        <w:tc>
          <w:tcPr>
            <w:tcW w:w="4821" w:type="dxa"/>
          </w:tcPr>
          <w:p w14:paraId="7ABCA7DB" w14:textId="23DF8B47"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Créer des services déconcentrés </w:t>
            </w:r>
            <w:r w:rsidR="00EE20BB">
              <w:rPr>
                <w:rFonts w:ascii="Times New Roman" w:hAnsi="Times New Roman" w:cs="Times New Roman"/>
                <w:bCs/>
                <w:color w:val="000000"/>
                <w:sz w:val="20"/>
                <w:szCs w:val="20"/>
              </w:rPr>
              <w:t>a</w:t>
            </w:r>
            <w:r w:rsidRPr="00326A6C">
              <w:rPr>
                <w:rFonts w:ascii="Times New Roman" w:hAnsi="Times New Roman" w:cs="Times New Roman"/>
                <w:bCs/>
                <w:color w:val="000000"/>
                <w:sz w:val="20"/>
                <w:szCs w:val="20"/>
              </w:rPr>
              <w:t>u Secrétariat Général aux Affaires Religieuses (SGAR) et leur allouer des crédits nécessaires pour leur fonctionnement.</w:t>
            </w:r>
          </w:p>
        </w:tc>
        <w:tc>
          <w:tcPr>
            <w:tcW w:w="1984" w:type="dxa"/>
          </w:tcPr>
          <w:p w14:paraId="328085D4" w14:textId="6D46B758"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Pris</w:t>
            </w:r>
            <w:r w:rsidR="003D016F"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vAlign w:val="center"/>
          </w:tcPr>
          <w:p w14:paraId="079AE6DE" w14:textId="77777777" w:rsidR="00E259B4" w:rsidRPr="00326A6C" w:rsidRDefault="00E259B4" w:rsidP="00326A6C">
            <w:pPr>
              <w:rPr>
                <w:rFonts w:ascii="Times New Roman" w:hAnsi="Times New Roman" w:cs="Times New Roman"/>
                <w:bCs/>
                <w:sz w:val="20"/>
                <w:szCs w:val="20"/>
              </w:rPr>
            </w:pPr>
            <w:r w:rsidRPr="00326A6C">
              <w:rPr>
                <w:rFonts w:ascii="Times New Roman" w:hAnsi="Times New Roman" w:cs="Times New Roman"/>
                <w:bCs/>
                <w:sz w:val="20"/>
                <w:szCs w:val="20"/>
              </w:rPr>
              <w:t>Les services déconcentrés existent et sont dotés de 20% des crédits de fonctionnement du SGAR dans le PLF 2024.</w:t>
            </w:r>
          </w:p>
        </w:tc>
      </w:tr>
      <w:tr w:rsidR="00E259B4" w:rsidRPr="007C196D" w14:paraId="3BE631F9" w14:textId="77777777" w:rsidTr="00326A6C">
        <w:tc>
          <w:tcPr>
            <w:tcW w:w="425" w:type="dxa"/>
          </w:tcPr>
          <w:p w14:paraId="3BF2EBF2"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19</w:t>
            </w:r>
          </w:p>
        </w:tc>
        <w:tc>
          <w:tcPr>
            <w:tcW w:w="4821" w:type="dxa"/>
          </w:tcPr>
          <w:p w14:paraId="71526A8B" w14:textId="77777777" w:rsidR="00E259B4" w:rsidRPr="00326A6C" w:rsidRDefault="00E259B4" w:rsidP="00326A6C">
            <w:pPr>
              <w:jc w:val="both"/>
              <w:rPr>
                <w:rFonts w:ascii="Times New Roman" w:hAnsi="Times New Roman" w:cs="Times New Roman"/>
                <w:bCs/>
                <w:sz w:val="20"/>
                <w:szCs w:val="20"/>
              </w:rPr>
            </w:pPr>
            <w:r w:rsidRPr="00326A6C">
              <w:rPr>
                <w:rFonts w:ascii="Times New Roman" w:hAnsi="Times New Roman" w:cs="Times New Roman"/>
                <w:bCs/>
                <w:sz w:val="20"/>
                <w:szCs w:val="20"/>
              </w:rPr>
              <w:t>Revoir les procédures de passation des marchés publics à travers une réduction des délais de passation, la revue à la hausse des seuils, la formation des PRMP et la digitalisation du processus.</w:t>
            </w:r>
          </w:p>
        </w:tc>
        <w:tc>
          <w:tcPr>
            <w:tcW w:w="1984" w:type="dxa"/>
          </w:tcPr>
          <w:p w14:paraId="01CE4937" w14:textId="77777777"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En cours d’exécution  </w:t>
            </w:r>
          </w:p>
        </w:tc>
        <w:tc>
          <w:tcPr>
            <w:tcW w:w="3544" w:type="dxa"/>
            <w:vAlign w:val="center"/>
          </w:tcPr>
          <w:p w14:paraId="61DB7A0D" w14:textId="77777777" w:rsidR="00E259B4" w:rsidRPr="00326A6C" w:rsidRDefault="00E259B4" w:rsidP="00326A6C">
            <w:pPr>
              <w:rPr>
                <w:rFonts w:ascii="Times New Roman" w:hAnsi="Times New Roman" w:cs="Times New Roman"/>
                <w:color w:val="000000"/>
                <w:sz w:val="20"/>
                <w:szCs w:val="20"/>
              </w:rPr>
            </w:pPr>
          </w:p>
        </w:tc>
      </w:tr>
      <w:tr w:rsidR="00E259B4" w:rsidRPr="007C196D" w14:paraId="5815B71B" w14:textId="77777777" w:rsidTr="00326A6C">
        <w:tc>
          <w:tcPr>
            <w:tcW w:w="425" w:type="dxa"/>
          </w:tcPr>
          <w:p w14:paraId="0917E17F"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20</w:t>
            </w:r>
          </w:p>
        </w:tc>
        <w:tc>
          <w:tcPr>
            <w:tcW w:w="4821" w:type="dxa"/>
          </w:tcPr>
          <w:p w14:paraId="743275EA" w14:textId="77777777"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Soutenir le secteur cinématographique.</w:t>
            </w:r>
          </w:p>
        </w:tc>
        <w:tc>
          <w:tcPr>
            <w:tcW w:w="1984" w:type="dxa"/>
          </w:tcPr>
          <w:p w14:paraId="4EE2755D" w14:textId="57863285" w:rsidR="00E259B4" w:rsidRPr="00326A6C" w:rsidRDefault="003D016F"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En cours d’exécution </w:t>
            </w:r>
            <w:r w:rsidR="00E259B4" w:rsidRPr="00326A6C">
              <w:rPr>
                <w:rFonts w:ascii="Times New Roman" w:hAnsi="Times New Roman" w:cs="Times New Roman"/>
                <w:bCs/>
                <w:color w:val="000000"/>
                <w:sz w:val="20"/>
                <w:szCs w:val="20"/>
              </w:rPr>
              <w:t xml:space="preserve"> </w:t>
            </w:r>
          </w:p>
        </w:tc>
        <w:tc>
          <w:tcPr>
            <w:tcW w:w="3544" w:type="dxa"/>
            <w:vAlign w:val="center"/>
          </w:tcPr>
          <w:p w14:paraId="60BD453A" w14:textId="77777777" w:rsidR="00E259B4" w:rsidRPr="00326A6C" w:rsidRDefault="00E259B4" w:rsidP="00326A6C">
            <w:pPr>
              <w:rPr>
                <w:rFonts w:ascii="Times New Roman" w:hAnsi="Times New Roman" w:cs="Times New Roman"/>
                <w:bCs/>
                <w:sz w:val="20"/>
                <w:szCs w:val="20"/>
              </w:rPr>
            </w:pPr>
            <w:r w:rsidRPr="00326A6C">
              <w:rPr>
                <w:rFonts w:ascii="Times New Roman" w:hAnsi="Times New Roman" w:cs="Times New Roman"/>
                <w:bCs/>
                <w:sz w:val="20"/>
                <w:szCs w:val="20"/>
              </w:rPr>
              <w:t xml:space="preserve">Le Ministère propose la création d’une nouvelle taxe  </w:t>
            </w:r>
          </w:p>
        </w:tc>
      </w:tr>
      <w:tr w:rsidR="00E259B4" w:rsidRPr="007C196D" w14:paraId="123B46C1" w14:textId="77777777" w:rsidTr="00326A6C">
        <w:trPr>
          <w:trHeight w:val="699"/>
        </w:trPr>
        <w:tc>
          <w:tcPr>
            <w:tcW w:w="425" w:type="dxa"/>
          </w:tcPr>
          <w:p w14:paraId="541E7C5F"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21</w:t>
            </w:r>
          </w:p>
        </w:tc>
        <w:tc>
          <w:tcPr>
            <w:tcW w:w="4821" w:type="dxa"/>
          </w:tcPr>
          <w:p w14:paraId="30962221" w14:textId="2114FB0B" w:rsidR="00E259B4" w:rsidRPr="00326A6C" w:rsidRDefault="003D016F" w:rsidP="00326A6C">
            <w:pPr>
              <w:spacing w:line="259" w:lineRule="auto"/>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 Favoriser l’</w:t>
            </w:r>
            <w:r w:rsidR="00E259B4" w:rsidRPr="00326A6C">
              <w:rPr>
                <w:rFonts w:ascii="Times New Roman" w:hAnsi="Times New Roman" w:cs="Times New Roman"/>
                <w:bCs/>
                <w:color w:val="000000"/>
                <w:sz w:val="20"/>
                <w:szCs w:val="20"/>
              </w:rPr>
              <w:t xml:space="preserve">ACGP </w:t>
            </w:r>
            <w:r w:rsidRPr="00326A6C">
              <w:rPr>
                <w:rFonts w:ascii="Times New Roman" w:hAnsi="Times New Roman" w:cs="Times New Roman"/>
                <w:bCs/>
                <w:color w:val="000000"/>
                <w:sz w:val="20"/>
                <w:szCs w:val="20"/>
              </w:rPr>
              <w:t xml:space="preserve">sur la chaine des dépenses </w:t>
            </w:r>
          </w:p>
        </w:tc>
        <w:tc>
          <w:tcPr>
            <w:tcW w:w="1984" w:type="dxa"/>
          </w:tcPr>
          <w:p w14:paraId="0AA808C2" w14:textId="4CF48AE0"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Pris</w:t>
            </w:r>
            <w:r w:rsidR="003D016F"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vAlign w:val="center"/>
          </w:tcPr>
          <w:p w14:paraId="6B64B9DD" w14:textId="77777777" w:rsidR="00E259B4" w:rsidRPr="00326A6C" w:rsidRDefault="00E259B4" w:rsidP="00326A6C">
            <w:pPr>
              <w:rPr>
                <w:rFonts w:ascii="Times New Roman" w:hAnsi="Times New Roman" w:cs="Times New Roman"/>
                <w:bCs/>
                <w:sz w:val="20"/>
                <w:szCs w:val="20"/>
              </w:rPr>
            </w:pPr>
            <w:r w:rsidRPr="00326A6C">
              <w:rPr>
                <w:rFonts w:ascii="Times New Roman" w:hAnsi="Times New Roman" w:cs="Times New Roman"/>
                <w:bCs/>
                <w:sz w:val="20"/>
                <w:szCs w:val="20"/>
              </w:rPr>
              <w:t>Le niveau d'exécution à date, est 17,46 Mds, soit 11% des crédits de la LFR 2023.</w:t>
            </w:r>
          </w:p>
        </w:tc>
      </w:tr>
      <w:tr w:rsidR="00E259B4" w:rsidRPr="007C196D" w14:paraId="448CF8E7" w14:textId="77777777" w:rsidTr="00326A6C">
        <w:trPr>
          <w:trHeight w:val="992"/>
        </w:trPr>
        <w:tc>
          <w:tcPr>
            <w:tcW w:w="425" w:type="dxa"/>
          </w:tcPr>
          <w:p w14:paraId="07160A25"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22</w:t>
            </w:r>
          </w:p>
        </w:tc>
        <w:tc>
          <w:tcPr>
            <w:tcW w:w="4821" w:type="dxa"/>
          </w:tcPr>
          <w:p w14:paraId="738FF179" w14:textId="37A48E1E" w:rsidR="00E259B4" w:rsidRPr="00326A6C" w:rsidRDefault="00E259B4" w:rsidP="00326A6C">
            <w:pPr>
              <w:shd w:val="clear" w:color="auto" w:fill="FFFFFF"/>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Mettre en place un mécanisme permettant à l’ACGP de disposer facilement des budgets de missions de contrôles et de supervision des projets logés chez les Maitre</w:t>
            </w:r>
            <w:r w:rsidR="00EE20BB">
              <w:rPr>
                <w:rFonts w:ascii="Times New Roman" w:hAnsi="Times New Roman" w:cs="Times New Roman"/>
                <w:bCs/>
                <w:color w:val="000000"/>
                <w:sz w:val="20"/>
                <w:szCs w:val="20"/>
              </w:rPr>
              <w:t>s</w:t>
            </w:r>
            <w:r w:rsidRPr="00326A6C">
              <w:rPr>
                <w:rFonts w:ascii="Times New Roman" w:hAnsi="Times New Roman" w:cs="Times New Roman"/>
                <w:bCs/>
                <w:color w:val="000000"/>
                <w:sz w:val="20"/>
                <w:szCs w:val="20"/>
              </w:rPr>
              <w:t xml:space="preserve"> d’Ouvrages ; </w:t>
            </w:r>
          </w:p>
          <w:p w14:paraId="742FAC76" w14:textId="77777777" w:rsidR="00E259B4" w:rsidRPr="00326A6C" w:rsidRDefault="00E259B4" w:rsidP="00326A6C">
            <w:pPr>
              <w:shd w:val="clear" w:color="auto" w:fill="FFFFFF"/>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Donner à l’ACGP la possibilité́ d’arrêter ou de faire arrêter tout chantier public n’ayant pas de mission de contrôle et de supervision et/ou ne justifiant pas d’études techniques validées par elle ;</w:t>
            </w:r>
          </w:p>
          <w:p w14:paraId="63F80E4C" w14:textId="77777777" w:rsidR="00E259B4" w:rsidRPr="00326A6C" w:rsidRDefault="00E259B4" w:rsidP="00326A6C">
            <w:pPr>
              <w:shd w:val="clear" w:color="auto" w:fill="FFFFFF"/>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lastRenderedPageBreak/>
              <w:t>- Mettre en place un mécanisme de réduction des délais de passation des marchés publics.</w:t>
            </w:r>
          </w:p>
          <w:p w14:paraId="3E4954F3" w14:textId="77777777" w:rsidR="00E259B4" w:rsidRPr="00326A6C" w:rsidRDefault="00E259B4" w:rsidP="00326A6C">
            <w:pPr>
              <w:shd w:val="clear" w:color="auto" w:fill="FFFFFF"/>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Rendre concomitant l’approbation des contrats de travaux et ceux des missions de contrôle et de supervision desdits travaux par le Ministre de l’Économie et des Finances</w:t>
            </w:r>
          </w:p>
        </w:tc>
        <w:tc>
          <w:tcPr>
            <w:tcW w:w="1984" w:type="dxa"/>
          </w:tcPr>
          <w:p w14:paraId="1E4CB1DD" w14:textId="7C1F7A83" w:rsidR="00E259B4" w:rsidRPr="00326A6C" w:rsidRDefault="003D016F"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lastRenderedPageBreak/>
              <w:t>En cours</w:t>
            </w:r>
            <w:r w:rsidR="00E259B4" w:rsidRPr="00326A6C">
              <w:rPr>
                <w:rFonts w:ascii="Times New Roman" w:hAnsi="Times New Roman" w:cs="Times New Roman"/>
                <w:bCs/>
                <w:color w:val="000000"/>
                <w:sz w:val="20"/>
                <w:szCs w:val="20"/>
              </w:rPr>
              <w:t xml:space="preserve"> </w:t>
            </w:r>
            <w:r w:rsidRPr="00326A6C">
              <w:rPr>
                <w:rFonts w:ascii="Times New Roman" w:hAnsi="Times New Roman" w:cs="Times New Roman"/>
                <w:bCs/>
                <w:color w:val="000000"/>
                <w:sz w:val="20"/>
                <w:szCs w:val="20"/>
              </w:rPr>
              <w:t xml:space="preserve">d’exécution </w:t>
            </w:r>
            <w:r w:rsidR="00E259B4" w:rsidRPr="00326A6C">
              <w:rPr>
                <w:rFonts w:ascii="Times New Roman" w:hAnsi="Times New Roman" w:cs="Times New Roman"/>
                <w:bCs/>
                <w:color w:val="000000"/>
                <w:sz w:val="20"/>
                <w:szCs w:val="20"/>
              </w:rPr>
              <w:t xml:space="preserve"> </w:t>
            </w:r>
          </w:p>
        </w:tc>
        <w:tc>
          <w:tcPr>
            <w:tcW w:w="3544" w:type="dxa"/>
            <w:vAlign w:val="center"/>
          </w:tcPr>
          <w:p w14:paraId="7F503EFA" w14:textId="77777777" w:rsidR="00E259B4" w:rsidRPr="00326A6C" w:rsidRDefault="00E259B4" w:rsidP="00326A6C">
            <w:pPr>
              <w:rPr>
                <w:rFonts w:ascii="Times New Roman" w:hAnsi="Times New Roman" w:cs="Times New Roman"/>
                <w:color w:val="000000"/>
                <w:sz w:val="20"/>
                <w:szCs w:val="20"/>
              </w:rPr>
            </w:pPr>
          </w:p>
        </w:tc>
      </w:tr>
      <w:tr w:rsidR="00E259B4" w:rsidRPr="007C196D" w14:paraId="2C5DEF6F" w14:textId="77777777" w:rsidTr="00326A6C">
        <w:tc>
          <w:tcPr>
            <w:tcW w:w="425" w:type="dxa"/>
          </w:tcPr>
          <w:p w14:paraId="6F3587F6"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23</w:t>
            </w:r>
          </w:p>
        </w:tc>
        <w:tc>
          <w:tcPr>
            <w:tcW w:w="4821" w:type="dxa"/>
          </w:tcPr>
          <w:p w14:paraId="73ADE498" w14:textId="77777777" w:rsidR="00E259B4" w:rsidRPr="00326A6C" w:rsidRDefault="00E259B4" w:rsidP="00326A6C">
            <w:pPr>
              <w:pStyle w:val="NormalWeb"/>
              <w:spacing w:before="0" w:beforeAutospacing="0" w:after="0" w:afterAutospacing="0"/>
              <w:jc w:val="both"/>
              <w:rPr>
                <w:bCs/>
                <w:color w:val="000000"/>
                <w:sz w:val="20"/>
                <w:szCs w:val="20"/>
              </w:rPr>
            </w:pPr>
            <w:r w:rsidRPr="00326A6C">
              <w:rPr>
                <w:bCs/>
                <w:color w:val="000000"/>
                <w:sz w:val="20"/>
                <w:szCs w:val="20"/>
              </w:rPr>
              <w:t>Attribuer au Ministère du Plan et de la Coopération Internationale la certification et l’alignement du Programme d’Investissement Public (PIP) sur le Programme de Référence Intérimaire (PRI).</w:t>
            </w:r>
          </w:p>
        </w:tc>
        <w:tc>
          <w:tcPr>
            <w:tcW w:w="1984" w:type="dxa"/>
          </w:tcPr>
          <w:p w14:paraId="7127A1B6" w14:textId="5F1B7222" w:rsidR="00E259B4" w:rsidRPr="00326A6C" w:rsidRDefault="00330543"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 en cours d’exécution </w:t>
            </w:r>
          </w:p>
        </w:tc>
        <w:tc>
          <w:tcPr>
            <w:tcW w:w="3544" w:type="dxa"/>
            <w:vAlign w:val="center"/>
          </w:tcPr>
          <w:p w14:paraId="1873C51F" w14:textId="77777777" w:rsidR="00E259B4" w:rsidRPr="00326A6C" w:rsidRDefault="00E259B4" w:rsidP="00326A6C">
            <w:pPr>
              <w:rPr>
                <w:rFonts w:ascii="Times New Roman" w:hAnsi="Times New Roman" w:cs="Times New Roman"/>
                <w:color w:val="000000"/>
                <w:sz w:val="20"/>
                <w:szCs w:val="20"/>
              </w:rPr>
            </w:pPr>
          </w:p>
        </w:tc>
      </w:tr>
      <w:tr w:rsidR="00E259B4" w:rsidRPr="007C196D" w14:paraId="41C601DE" w14:textId="77777777" w:rsidTr="00326A6C">
        <w:tc>
          <w:tcPr>
            <w:tcW w:w="425" w:type="dxa"/>
          </w:tcPr>
          <w:p w14:paraId="2AB73F81"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24</w:t>
            </w:r>
          </w:p>
        </w:tc>
        <w:tc>
          <w:tcPr>
            <w:tcW w:w="4821" w:type="dxa"/>
          </w:tcPr>
          <w:p w14:paraId="530C0AF5" w14:textId="70C618B4"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Allouer des ressources au </w:t>
            </w:r>
            <w:r w:rsidR="00EE20BB">
              <w:rPr>
                <w:rFonts w:ascii="Times New Roman" w:hAnsi="Times New Roman" w:cs="Times New Roman"/>
                <w:bCs/>
                <w:color w:val="000000"/>
                <w:sz w:val="20"/>
                <w:szCs w:val="20"/>
              </w:rPr>
              <w:t>F</w:t>
            </w:r>
            <w:r w:rsidRPr="00326A6C">
              <w:rPr>
                <w:rFonts w:ascii="Times New Roman" w:hAnsi="Times New Roman" w:cs="Times New Roman"/>
                <w:bCs/>
                <w:color w:val="000000"/>
                <w:sz w:val="20"/>
                <w:szCs w:val="20"/>
              </w:rPr>
              <w:t xml:space="preserve">onds </w:t>
            </w:r>
            <w:r w:rsidR="00EE20BB">
              <w:rPr>
                <w:rFonts w:ascii="Times New Roman" w:hAnsi="Times New Roman" w:cs="Times New Roman"/>
                <w:bCs/>
                <w:color w:val="000000"/>
                <w:sz w:val="20"/>
                <w:szCs w:val="20"/>
              </w:rPr>
              <w:t>S</w:t>
            </w:r>
            <w:r w:rsidRPr="00326A6C">
              <w:rPr>
                <w:rFonts w:ascii="Times New Roman" w:hAnsi="Times New Roman" w:cs="Times New Roman"/>
                <w:bCs/>
                <w:color w:val="000000"/>
                <w:sz w:val="20"/>
                <w:szCs w:val="20"/>
              </w:rPr>
              <w:t>ocial du Ministère de la Sécurité et la Protection Civile</w:t>
            </w:r>
            <w:r w:rsidR="00EE20BB">
              <w:rPr>
                <w:rFonts w:ascii="Times New Roman" w:hAnsi="Times New Roman" w:cs="Times New Roman"/>
                <w:bCs/>
                <w:color w:val="000000"/>
                <w:sz w:val="20"/>
                <w:szCs w:val="20"/>
              </w:rPr>
              <w:t>,</w:t>
            </w:r>
            <w:r w:rsidRPr="00326A6C">
              <w:rPr>
                <w:rFonts w:ascii="Times New Roman" w:hAnsi="Times New Roman" w:cs="Times New Roman"/>
                <w:bCs/>
                <w:color w:val="000000"/>
                <w:sz w:val="20"/>
                <w:szCs w:val="20"/>
              </w:rPr>
              <w:t xml:space="preserve"> pour la prise en charge des malades et blessés, dans la LFI 2024.</w:t>
            </w:r>
          </w:p>
        </w:tc>
        <w:tc>
          <w:tcPr>
            <w:tcW w:w="1984" w:type="dxa"/>
          </w:tcPr>
          <w:p w14:paraId="100D43B4" w14:textId="53F86861"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Entièrement pris</w:t>
            </w:r>
            <w:r w:rsidR="00903967"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tcPr>
          <w:p w14:paraId="67EB1D0A" w14:textId="777F1247" w:rsidR="00E259B4" w:rsidRPr="00326A6C" w:rsidRDefault="00903967"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Dotation suffisante prévue dans les dépenses communes</w:t>
            </w:r>
          </w:p>
        </w:tc>
      </w:tr>
      <w:tr w:rsidR="00E259B4" w:rsidRPr="007C196D" w14:paraId="6801B685" w14:textId="77777777" w:rsidTr="00326A6C">
        <w:tc>
          <w:tcPr>
            <w:tcW w:w="425" w:type="dxa"/>
          </w:tcPr>
          <w:p w14:paraId="64427770"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25</w:t>
            </w:r>
          </w:p>
        </w:tc>
        <w:tc>
          <w:tcPr>
            <w:tcW w:w="4821" w:type="dxa"/>
          </w:tcPr>
          <w:p w14:paraId="64ED0310" w14:textId="172B50A5"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Doter à temps les Cours et Tribunaux</w:t>
            </w:r>
            <w:r w:rsidR="00EE20BB">
              <w:rPr>
                <w:rFonts w:ascii="Times New Roman" w:hAnsi="Times New Roman" w:cs="Times New Roman"/>
                <w:bCs/>
                <w:color w:val="000000"/>
                <w:sz w:val="20"/>
                <w:szCs w:val="20"/>
              </w:rPr>
              <w:t>,</w:t>
            </w:r>
            <w:r w:rsidRPr="00326A6C">
              <w:rPr>
                <w:rFonts w:ascii="Times New Roman" w:hAnsi="Times New Roman" w:cs="Times New Roman"/>
                <w:bCs/>
                <w:color w:val="000000"/>
                <w:sz w:val="20"/>
                <w:szCs w:val="20"/>
              </w:rPr>
              <w:t xml:space="preserve"> notamment ceux de l’intérieur</w:t>
            </w:r>
            <w:r w:rsidR="00EE20BB">
              <w:rPr>
                <w:rFonts w:ascii="Times New Roman" w:hAnsi="Times New Roman" w:cs="Times New Roman"/>
                <w:bCs/>
                <w:color w:val="000000"/>
                <w:sz w:val="20"/>
                <w:szCs w:val="20"/>
              </w:rPr>
              <w:t>,</w:t>
            </w:r>
            <w:r w:rsidRPr="00326A6C">
              <w:rPr>
                <w:rFonts w:ascii="Times New Roman" w:hAnsi="Times New Roman" w:cs="Times New Roman"/>
                <w:bCs/>
                <w:color w:val="000000"/>
                <w:sz w:val="20"/>
                <w:szCs w:val="20"/>
              </w:rPr>
              <w:t xml:space="preserve"> de leur budget de fonctionnement.</w:t>
            </w:r>
          </w:p>
        </w:tc>
        <w:tc>
          <w:tcPr>
            <w:tcW w:w="1984" w:type="dxa"/>
          </w:tcPr>
          <w:p w14:paraId="739B74EB" w14:textId="77777777" w:rsidR="00E259B4" w:rsidRPr="00326A6C" w:rsidRDefault="00E259B4" w:rsidP="00326A6C">
            <w:pPr>
              <w:rPr>
                <w:rFonts w:ascii="Times New Roman" w:hAnsi="Times New Roman" w:cs="Times New Roman"/>
                <w:bCs/>
                <w:color w:val="000000"/>
                <w:sz w:val="20"/>
                <w:szCs w:val="20"/>
              </w:rPr>
            </w:pPr>
          </w:p>
          <w:p w14:paraId="2DE16218" w14:textId="60ED2766"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Non pris</w:t>
            </w:r>
            <w:r w:rsidR="00903967"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tcPr>
          <w:p w14:paraId="3A7CFCF9" w14:textId="77777777" w:rsidR="00E259B4" w:rsidRPr="00326A6C" w:rsidRDefault="00E259B4" w:rsidP="00326A6C">
            <w:pPr>
              <w:rPr>
                <w:rFonts w:ascii="Times New Roman" w:hAnsi="Times New Roman" w:cs="Times New Roman"/>
                <w:bCs/>
                <w:color w:val="000000"/>
                <w:sz w:val="20"/>
                <w:szCs w:val="20"/>
              </w:rPr>
            </w:pPr>
          </w:p>
        </w:tc>
      </w:tr>
      <w:tr w:rsidR="00E259B4" w:rsidRPr="007C196D" w14:paraId="75AC5215" w14:textId="77777777" w:rsidTr="00326A6C">
        <w:tc>
          <w:tcPr>
            <w:tcW w:w="425" w:type="dxa"/>
          </w:tcPr>
          <w:p w14:paraId="24C3F2E5"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26</w:t>
            </w:r>
          </w:p>
        </w:tc>
        <w:tc>
          <w:tcPr>
            <w:tcW w:w="4821" w:type="dxa"/>
          </w:tcPr>
          <w:p w14:paraId="0C4A0839" w14:textId="4824987F"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Envisager la </w:t>
            </w:r>
            <w:r w:rsidR="006D5230" w:rsidRPr="00326A6C">
              <w:rPr>
                <w:rFonts w:ascii="Times New Roman" w:hAnsi="Times New Roman" w:cs="Times New Roman"/>
                <w:bCs/>
                <w:color w:val="000000"/>
                <w:sz w:val="20"/>
                <w:szCs w:val="20"/>
              </w:rPr>
              <w:t>construction des</w:t>
            </w:r>
            <w:r w:rsidRPr="00326A6C">
              <w:rPr>
                <w:rFonts w:ascii="Times New Roman" w:hAnsi="Times New Roman" w:cs="Times New Roman"/>
                <w:bCs/>
                <w:color w:val="000000"/>
                <w:sz w:val="20"/>
                <w:szCs w:val="20"/>
              </w:rPr>
              <w:t xml:space="preserve"> cités administratives</w:t>
            </w:r>
          </w:p>
        </w:tc>
        <w:tc>
          <w:tcPr>
            <w:tcW w:w="1984" w:type="dxa"/>
          </w:tcPr>
          <w:p w14:paraId="0F2A1BB2" w14:textId="050D6CC5"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Non pris</w:t>
            </w:r>
            <w:r w:rsidR="00903967"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tcPr>
          <w:p w14:paraId="5D753CDA" w14:textId="77777777" w:rsidR="00E259B4" w:rsidRPr="00326A6C" w:rsidRDefault="00E259B4" w:rsidP="00326A6C">
            <w:pPr>
              <w:rPr>
                <w:rFonts w:ascii="Times New Roman" w:hAnsi="Times New Roman" w:cs="Times New Roman"/>
                <w:bCs/>
                <w:color w:val="000000"/>
                <w:sz w:val="20"/>
                <w:szCs w:val="20"/>
              </w:rPr>
            </w:pPr>
          </w:p>
        </w:tc>
      </w:tr>
      <w:tr w:rsidR="00E259B4" w:rsidRPr="007C196D" w14:paraId="1A61A8EC" w14:textId="77777777" w:rsidTr="00326A6C">
        <w:tc>
          <w:tcPr>
            <w:tcW w:w="425" w:type="dxa"/>
          </w:tcPr>
          <w:p w14:paraId="6ED5D621"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27</w:t>
            </w:r>
          </w:p>
        </w:tc>
        <w:tc>
          <w:tcPr>
            <w:tcW w:w="4821" w:type="dxa"/>
          </w:tcPr>
          <w:p w14:paraId="1C849C69" w14:textId="64875A6A" w:rsidR="00E259B4" w:rsidRPr="00326A6C" w:rsidRDefault="006D5230"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Rehausser la</w:t>
            </w:r>
            <w:r w:rsidR="00E259B4" w:rsidRPr="00326A6C">
              <w:rPr>
                <w:rFonts w:ascii="Times New Roman" w:hAnsi="Times New Roman" w:cs="Times New Roman"/>
                <w:bCs/>
                <w:color w:val="000000"/>
                <w:sz w:val="20"/>
                <w:szCs w:val="20"/>
              </w:rPr>
              <w:t xml:space="preserve"> dotation de l’Agence Nationale de </w:t>
            </w:r>
            <w:r w:rsidR="00EE20BB">
              <w:rPr>
                <w:rFonts w:ascii="Times New Roman" w:hAnsi="Times New Roman" w:cs="Times New Roman"/>
                <w:bCs/>
                <w:color w:val="000000"/>
                <w:sz w:val="20"/>
                <w:szCs w:val="20"/>
              </w:rPr>
              <w:t>V</w:t>
            </w:r>
            <w:r w:rsidR="00E259B4" w:rsidRPr="00326A6C">
              <w:rPr>
                <w:rFonts w:ascii="Times New Roman" w:hAnsi="Times New Roman" w:cs="Times New Roman"/>
                <w:bCs/>
                <w:color w:val="000000"/>
                <w:sz w:val="20"/>
                <w:szCs w:val="20"/>
              </w:rPr>
              <w:t>olontariat  Jeune. </w:t>
            </w:r>
          </w:p>
        </w:tc>
        <w:tc>
          <w:tcPr>
            <w:tcW w:w="1984" w:type="dxa"/>
          </w:tcPr>
          <w:p w14:paraId="26713BB1" w14:textId="6F126694"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Pris</w:t>
            </w:r>
            <w:r w:rsidR="00903967"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tcPr>
          <w:p w14:paraId="610BBD15" w14:textId="77777777" w:rsidR="00E259B4" w:rsidRPr="00326A6C" w:rsidRDefault="00E259B4" w:rsidP="00326A6C">
            <w:pPr>
              <w:rPr>
                <w:rFonts w:ascii="Times New Roman" w:hAnsi="Times New Roman" w:cs="Times New Roman"/>
                <w:bCs/>
                <w:color w:val="000000"/>
                <w:sz w:val="20"/>
                <w:szCs w:val="20"/>
              </w:rPr>
            </w:pPr>
          </w:p>
        </w:tc>
      </w:tr>
      <w:tr w:rsidR="00E259B4" w:rsidRPr="007C196D" w14:paraId="2D729D8A" w14:textId="77777777" w:rsidTr="00326A6C">
        <w:tc>
          <w:tcPr>
            <w:tcW w:w="425" w:type="dxa"/>
          </w:tcPr>
          <w:p w14:paraId="2F9A147E"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28</w:t>
            </w:r>
          </w:p>
        </w:tc>
        <w:tc>
          <w:tcPr>
            <w:tcW w:w="4821" w:type="dxa"/>
          </w:tcPr>
          <w:p w14:paraId="4510E670" w14:textId="77777777"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Mettre en place un mécanisme d’appui budgétaire au  Haut Conseil des Guinéens de l’Etranger (HCGE)</w:t>
            </w:r>
          </w:p>
        </w:tc>
        <w:tc>
          <w:tcPr>
            <w:tcW w:w="1984" w:type="dxa"/>
          </w:tcPr>
          <w:p w14:paraId="34652729" w14:textId="2FF631A1"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Non pris</w:t>
            </w:r>
            <w:r w:rsidR="00903967"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tcPr>
          <w:p w14:paraId="279C2CE2" w14:textId="77777777" w:rsidR="00E259B4" w:rsidRPr="00326A6C" w:rsidRDefault="00E259B4" w:rsidP="00326A6C">
            <w:pPr>
              <w:rPr>
                <w:rFonts w:ascii="Times New Roman" w:hAnsi="Times New Roman" w:cs="Times New Roman"/>
                <w:bCs/>
                <w:color w:val="000000"/>
                <w:sz w:val="20"/>
                <w:szCs w:val="20"/>
              </w:rPr>
            </w:pPr>
          </w:p>
        </w:tc>
      </w:tr>
      <w:tr w:rsidR="00E259B4" w:rsidRPr="007C196D" w14:paraId="1C0F6218" w14:textId="77777777" w:rsidTr="00326A6C">
        <w:tc>
          <w:tcPr>
            <w:tcW w:w="425" w:type="dxa"/>
          </w:tcPr>
          <w:p w14:paraId="21127CE5" w14:textId="77777777" w:rsidR="00E259B4" w:rsidRPr="00326A6C" w:rsidRDefault="00E259B4" w:rsidP="00326A6C">
            <w:pPr>
              <w:ind w:right="-104" w:hanging="107"/>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29</w:t>
            </w:r>
          </w:p>
        </w:tc>
        <w:tc>
          <w:tcPr>
            <w:tcW w:w="4821" w:type="dxa"/>
          </w:tcPr>
          <w:p w14:paraId="5D4E14C9" w14:textId="77777777" w:rsidR="00E259B4" w:rsidRPr="00326A6C" w:rsidRDefault="00E259B4" w:rsidP="00326A6C">
            <w:pPr>
              <w:jc w:val="both"/>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 xml:space="preserve">Doter de moyens suffisants l’Office National des Géo-services pour sécuriser et contrôler l’exploitation de la nappe phréatique. </w:t>
            </w:r>
          </w:p>
        </w:tc>
        <w:tc>
          <w:tcPr>
            <w:tcW w:w="1984" w:type="dxa"/>
          </w:tcPr>
          <w:p w14:paraId="17805AAF" w14:textId="12DABCB1" w:rsidR="00E259B4" w:rsidRPr="00326A6C" w:rsidRDefault="00E259B4" w:rsidP="00326A6C">
            <w:pPr>
              <w:rPr>
                <w:rFonts w:ascii="Times New Roman" w:hAnsi="Times New Roman" w:cs="Times New Roman"/>
                <w:bCs/>
                <w:color w:val="000000"/>
                <w:sz w:val="20"/>
                <w:szCs w:val="20"/>
              </w:rPr>
            </w:pPr>
            <w:r w:rsidRPr="00326A6C">
              <w:rPr>
                <w:rFonts w:ascii="Times New Roman" w:hAnsi="Times New Roman" w:cs="Times New Roman"/>
                <w:bCs/>
                <w:color w:val="000000"/>
                <w:sz w:val="20"/>
                <w:szCs w:val="20"/>
              </w:rPr>
              <w:t>Non pris</w:t>
            </w:r>
            <w:r w:rsidR="00903967" w:rsidRPr="00326A6C">
              <w:rPr>
                <w:rFonts w:ascii="Times New Roman" w:hAnsi="Times New Roman" w:cs="Times New Roman"/>
                <w:bCs/>
                <w:color w:val="000000"/>
                <w:sz w:val="20"/>
                <w:szCs w:val="20"/>
              </w:rPr>
              <w:t>e</w:t>
            </w:r>
            <w:r w:rsidRPr="00326A6C">
              <w:rPr>
                <w:rFonts w:ascii="Times New Roman" w:hAnsi="Times New Roman" w:cs="Times New Roman"/>
                <w:bCs/>
                <w:color w:val="000000"/>
                <w:sz w:val="20"/>
                <w:szCs w:val="20"/>
              </w:rPr>
              <w:t xml:space="preserve"> en compte </w:t>
            </w:r>
          </w:p>
        </w:tc>
        <w:tc>
          <w:tcPr>
            <w:tcW w:w="3544" w:type="dxa"/>
          </w:tcPr>
          <w:p w14:paraId="3223A220" w14:textId="77777777" w:rsidR="00E259B4" w:rsidRPr="00326A6C" w:rsidRDefault="00E259B4" w:rsidP="00326A6C">
            <w:pPr>
              <w:rPr>
                <w:rFonts w:ascii="Times New Roman" w:hAnsi="Times New Roman" w:cs="Times New Roman"/>
                <w:bCs/>
                <w:color w:val="000000"/>
                <w:sz w:val="20"/>
                <w:szCs w:val="20"/>
              </w:rPr>
            </w:pPr>
          </w:p>
        </w:tc>
      </w:tr>
    </w:tbl>
    <w:p w14:paraId="16E1D5DD" w14:textId="77777777" w:rsidR="00903967" w:rsidRPr="006333CC" w:rsidRDefault="00903967" w:rsidP="00E259B4">
      <w:pPr>
        <w:rPr>
          <w:rFonts w:cstheme="minorHAnsi"/>
          <w:bCs/>
          <w:color w:val="000000"/>
          <w:sz w:val="28"/>
          <w:szCs w:val="28"/>
        </w:rPr>
      </w:pPr>
    </w:p>
    <w:p w14:paraId="41FCE69C" w14:textId="7074D04C" w:rsidR="00632215" w:rsidRPr="006333CC" w:rsidRDefault="00E259B4" w:rsidP="00F91C48">
      <w:pPr>
        <w:jc w:val="both"/>
        <w:rPr>
          <w:rFonts w:ascii="Times New Roman" w:eastAsia="Times New Roman" w:hAnsi="Times New Roman" w:cs="Times New Roman"/>
          <w:sz w:val="28"/>
          <w:szCs w:val="28"/>
        </w:rPr>
      </w:pPr>
      <w:r w:rsidRPr="006333CC">
        <w:rPr>
          <w:rFonts w:ascii="Times New Roman" w:eastAsia="Times New Roman" w:hAnsi="Times New Roman" w:cs="Times New Roman"/>
          <w:sz w:val="28"/>
          <w:szCs w:val="28"/>
        </w:rPr>
        <w:t>Sur un total de 29 recomman</w:t>
      </w:r>
      <w:r w:rsidR="00903967" w:rsidRPr="006333CC">
        <w:rPr>
          <w:rFonts w:ascii="Times New Roman" w:eastAsia="Times New Roman" w:hAnsi="Times New Roman" w:cs="Times New Roman"/>
          <w:sz w:val="28"/>
          <w:szCs w:val="28"/>
        </w:rPr>
        <w:t>dations formulées</w:t>
      </w:r>
      <w:r w:rsidR="00BD39DF" w:rsidRPr="006333CC">
        <w:rPr>
          <w:rFonts w:ascii="Times New Roman" w:eastAsia="Times New Roman" w:hAnsi="Times New Roman" w:cs="Times New Roman"/>
          <w:sz w:val="28"/>
          <w:szCs w:val="28"/>
        </w:rPr>
        <w:t>,</w:t>
      </w:r>
      <w:r w:rsidR="00903967" w:rsidRPr="006333CC">
        <w:rPr>
          <w:rFonts w:ascii="Times New Roman" w:eastAsia="Times New Roman" w:hAnsi="Times New Roman" w:cs="Times New Roman"/>
          <w:sz w:val="28"/>
          <w:szCs w:val="28"/>
        </w:rPr>
        <w:t xml:space="preserve"> 1</w:t>
      </w:r>
      <w:r w:rsidR="000D70D5" w:rsidRPr="006333CC">
        <w:rPr>
          <w:rFonts w:ascii="Times New Roman" w:eastAsia="Times New Roman" w:hAnsi="Times New Roman" w:cs="Times New Roman"/>
          <w:sz w:val="28"/>
          <w:szCs w:val="28"/>
        </w:rPr>
        <w:t>9</w:t>
      </w:r>
      <w:r w:rsidRPr="006333CC">
        <w:rPr>
          <w:rFonts w:ascii="Times New Roman" w:eastAsia="Times New Roman" w:hAnsi="Times New Roman" w:cs="Times New Roman"/>
          <w:sz w:val="28"/>
          <w:szCs w:val="28"/>
        </w:rPr>
        <w:t xml:space="preserve"> ont été </w:t>
      </w:r>
      <w:r w:rsidR="00903967" w:rsidRPr="006333CC">
        <w:rPr>
          <w:rFonts w:ascii="Times New Roman" w:eastAsia="Times New Roman" w:hAnsi="Times New Roman" w:cs="Times New Roman"/>
          <w:sz w:val="28"/>
          <w:szCs w:val="28"/>
        </w:rPr>
        <w:t>prises en compte</w:t>
      </w:r>
      <w:r w:rsidR="00BD39DF" w:rsidRPr="006333CC">
        <w:rPr>
          <w:rFonts w:ascii="Times New Roman" w:eastAsia="Times New Roman" w:hAnsi="Times New Roman" w:cs="Times New Roman"/>
          <w:sz w:val="28"/>
          <w:szCs w:val="28"/>
        </w:rPr>
        <w:t>,</w:t>
      </w:r>
      <w:r w:rsidR="00903967" w:rsidRPr="006333CC">
        <w:rPr>
          <w:rFonts w:ascii="Times New Roman" w:eastAsia="Times New Roman" w:hAnsi="Times New Roman" w:cs="Times New Roman"/>
          <w:sz w:val="28"/>
          <w:szCs w:val="28"/>
        </w:rPr>
        <w:t xml:space="preserve"> </w:t>
      </w:r>
      <w:r w:rsidR="000D70D5" w:rsidRPr="006333CC">
        <w:rPr>
          <w:rFonts w:ascii="Times New Roman" w:eastAsia="Times New Roman" w:hAnsi="Times New Roman" w:cs="Times New Roman"/>
          <w:sz w:val="28"/>
          <w:szCs w:val="28"/>
        </w:rPr>
        <w:t>soit</w:t>
      </w:r>
      <w:r w:rsidR="002D15C8" w:rsidRPr="006333CC">
        <w:rPr>
          <w:rFonts w:ascii="Times New Roman" w:eastAsia="Times New Roman" w:hAnsi="Times New Roman" w:cs="Times New Roman"/>
          <w:sz w:val="28"/>
          <w:szCs w:val="28"/>
        </w:rPr>
        <w:t xml:space="preserve"> plus de la moitié</w:t>
      </w:r>
      <w:r w:rsidR="000D70D5" w:rsidRPr="006333CC">
        <w:rPr>
          <w:rFonts w:ascii="Times New Roman" w:eastAsia="Times New Roman" w:hAnsi="Times New Roman" w:cs="Times New Roman"/>
          <w:sz w:val="28"/>
          <w:szCs w:val="28"/>
        </w:rPr>
        <w:t xml:space="preserve"> </w:t>
      </w:r>
      <w:r w:rsidR="002D15C8" w:rsidRPr="006333CC">
        <w:rPr>
          <w:rFonts w:ascii="Times New Roman" w:eastAsia="Times New Roman" w:hAnsi="Times New Roman" w:cs="Times New Roman"/>
          <w:sz w:val="28"/>
          <w:szCs w:val="28"/>
        </w:rPr>
        <w:t>(</w:t>
      </w:r>
      <w:r w:rsidR="000D70D5" w:rsidRPr="006333CC">
        <w:rPr>
          <w:rFonts w:ascii="Times New Roman" w:eastAsia="Times New Roman" w:hAnsi="Times New Roman" w:cs="Times New Roman"/>
          <w:sz w:val="28"/>
          <w:szCs w:val="28"/>
        </w:rPr>
        <w:t>65,5%</w:t>
      </w:r>
      <w:r w:rsidR="002D15C8" w:rsidRPr="006333CC">
        <w:rPr>
          <w:rFonts w:ascii="Times New Roman" w:eastAsia="Times New Roman" w:hAnsi="Times New Roman" w:cs="Times New Roman"/>
          <w:sz w:val="28"/>
          <w:szCs w:val="28"/>
        </w:rPr>
        <w:t>)</w:t>
      </w:r>
      <w:r w:rsidR="000D70D5" w:rsidRPr="006333CC">
        <w:rPr>
          <w:rFonts w:ascii="Times New Roman" w:eastAsia="Times New Roman" w:hAnsi="Times New Roman" w:cs="Times New Roman"/>
          <w:sz w:val="28"/>
          <w:szCs w:val="28"/>
        </w:rPr>
        <w:t>.</w:t>
      </w:r>
      <w:r w:rsidR="00BD39DF" w:rsidRPr="006333CC">
        <w:rPr>
          <w:rFonts w:ascii="Times New Roman" w:eastAsia="Times New Roman" w:hAnsi="Times New Roman" w:cs="Times New Roman"/>
          <w:sz w:val="28"/>
          <w:szCs w:val="28"/>
        </w:rPr>
        <w:t xml:space="preserve"> Se réjouissant de </w:t>
      </w:r>
      <w:r w:rsidR="002D15C8" w:rsidRPr="006333CC">
        <w:rPr>
          <w:rFonts w:ascii="Times New Roman" w:eastAsia="Times New Roman" w:hAnsi="Times New Roman" w:cs="Times New Roman"/>
          <w:sz w:val="28"/>
          <w:szCs w:val="28"/>
        </w:rPr>
        <w:t>ce taux</w:t>
      </w:r>
      <w:r w:rsidR="008B36D8" w:rsidRPr="006333CC">
        <w:rPr>
          <w:rFonts w:ascii="Times New Roman" w:eastAsia="Times New Roman" w:hAnsi="Times New Roman" w:cs="Times New Roman"/>
          <w:sz w:val="28"/>
          <w:szCs w:val="28"/>
        </w:rPr>
        <w:t xml:space="preserve"> de réalisation et y restant très attaché</w:t>
      </w:r>
      <w:r w:rsidR="002D15C8" w:rsidRPr="006333CC">
        <w:rPr>
          <w:rFonts w:ascii="Times New Roman" w:eastAsia="Times New Roman" w:hAnsi="Times New Roman" w:cs="Times New Roman"/>
          <w:sz w:val="28"/>
          <w:szCs w:val="28"/>
        </w:rPr>
        <w:t>,</w:t>
      </w:r>
      <w:r w:rsidR="000D70D5" w:rsidRPr="006333CC">
        <w:rPr>
          <w:rFonts w:ascii="Times New Roman" w:eastAsia="Times New Roman" w:hAnsi="Times New Roman" w:cs="Times New Roman"/>
          <w:sz w:val="28"/>
          <w:szCs w:val="28"/>
        </w:rPr>
        <w:t xml:space="preserve"> </w:t>
      </w:r>
      <w:r w:rsidR="00BD39DF" w:rsidRPr="006333CC">
        <w:rPr>
          <w:rFonts w:ascii="Times New Roman" w:eastAsia="Times New Roman" w:hAnsi="Times New Roman" w:cs="Times New Roman"/>
          <w:sz w:val="28"/>
          <w:szCs w:val="28"/>
        </w:rPr>
        <w:t xml:space="preserve">Le CNT </w:t>
      </w:r>
      <w:r w:rsidR="002A2E47" w:rsidRPr="006333CC">
        <w:rPr>
          <w:rFonts w:ascii="Times New Roman" w:eastAsia="Times New Roman" w:hAnsi="Times New Roman" w:cs="Times New Roman"/>
          <w:sz w:val="28"/>
          <w:szCs w:val="28"/>
        </w:rPr>
        <w:t>invite le gouvernement à</w:t>
      </w:r>
      <w:r w:rsidR="002D15C8" w:rsidRPr="006333CC">
        <w:rPr>
          <w:rFonts w:ascii="Times New Roman" w:eastAsia="Times New Roman" w:hAnsi="Times New Roman" w:cs="Times New Roman"/>
          <w:sz w:val="28"/>
          <w:szCs w:val="28"/>
        </w:rPr>
        <w:t xml:space="preserve"> </w:t>
      </w:r>
      <w:r w:rsidR="008B36D8" w:rsidRPr="006333CC">
        <w:rPr>
          <w:rFonts w:ascii="Times New Roman" w:eastAsia="Times New Roman" w:hAnsi="Times New Roman" w:cs="Times New Roman"/>
          <w:sz w:val="28"/>
          <w:szCs w:val="28"/>
        </w:rPr>
        <w:t>plus</w:t>
      </w:r>
      <w:r w:rsidR="002D15C8" w:rsidRPr="006333CC">
        <w:rPr>
          <w:rFonts w:ascii="Times New Roman" w:eastAsia="Times New Roman" w:hAnsi="Times New Roman" w:cs="Times New Roman"/>
          <w:sz w:val="28"/>
          <w:szCs w:val="28"/>
        </w:rPr>
        <w:t xml:space="preserve"> d’effort</w:t>
      </w:r>
      <w:r w:rsidR="008B36D8" w:rsidRPr="006333CC">
        <w:rPr>
          <w:rFonts w:ascii="Times New Roman" w:eastAsia="Times New Roman" w:hAnsi="Times New Roman" w:cs="Times New Roman"/>
          <w:sz w:val="28"/>
          <w:szCs w:val="28"/>
        </w:rPr>
        <w:t>s</w:t>
      </w:r>
      <w:r w:rsidR="002D15C8" w:rsidRPr="006333CC">
        <w:rPr>
          <w:rFonts w:ascii="Times New Roman" w:eastAsia="Times New Roman" w:hAnsi="Times New Roman" w:cs="Times New Roman"/>
          <w:sz w:val="28"/>
          <w:szCs w:val="28"/>
        </w:rPr>
        <w:t xml:space="preserve"> pour</w:t>
      </w:r>
      <w:r w:rsidR="008B36D8" w:rsidRPr="006333CC">
        <w:rPr>
          <w:rFonts w:ascii="Times New Roman" w:eastAsia="Times New Roman" w:hAnsi="Times New Roman" w:cs="Times New Roman"/>
          <w:sz w:val="28"/>
          <w:szCs w:val="28"/>
        </w:rPr>
        <w:t xml:space="preserve"> accorder le même </w:t>
      </w:r>
      <w:r w:rsidR="002A2E47" w:rsidRPr="006333CC">
        <w:rPr>
          <w:rFonts w:ascii="Times New Roman" w:eastAsia="Times New Roman" w:hAnsi="Times New Roman" w:cs="Times New Roman"/>
          <w:sz w:val="28"/>
          <w:szCs w:val="28"/>
        </w:rPr>
        <w:t>traite</w:t>
      </w:r>
      <w:r w:rsidR="008B36D8" w:rsidRPr="006333CC">
        <w:rPr>
          <w:rFonts w:ascii="Times New Roman" w:eastAsia="Times New Roman" w:hAnsi="Times New Roman" w:cs="Times New Roman"/>
          <w:sz w:val="28"/>
          <w:szCs w:val="28"/>
        </w:rPr>
        <w:t>ment</w:t>
      </w:r>
      <w:r w:rsidR="000D70D5" w:rsidRPr="006333CC">
        <w:rPr>
          <w:rFonts w:ascii="Times New Roman" w:eastAsia="Times New Roman" w:hAnsi="Times New Roman" w:cs="Times New Roman"/>
          <w:sz w:val="28"/>
          <w:szCs w:val="28"/>
        </w:rPr>
        <w:t xml:space="preserve"> </w:t>
      </w:r>
      <w:r w:rsidR="00656427" w:rsidRPr="006333CC">
        <w:rPr>
          <w:rFonts w:ascii="Times New Roman" w:eastAsia="Times New Roman" w:hAnsi="Times New Roman" w:cs="Times New Roman"/>
          <w:sz w:val="28"/>
          <w:szCs w:val="28"/>
        </w:rPr>
        <w:t>à celles qui restent</w:t>
      </w:r>
      <w:r w:rsidR="002A2E47" w:rsidRPr="006333CC">
        <w:rPr>
          <w:rFonts w:ascii="Times New Roman" w:eastAsia="Times New Roman" w:hAnsi="Times New Roman" w:cs="Times New Roman"/>
          <w:sz w:val="28"/>
          <w:szCs w:val="28"/>
        </w:rPr>
        <w:t>.</w:t>
      </w:r>
      <w:r w:rsidR="00903967" w:rsidRPr="006333CC">
        <w:rPr>
          <w:rFonts w:ascii="Times New Roman" w:eastAsia="Times New Roman" w:hAnsi="Times New Roman" w:cs="Times New Roman"/>
          <w:sz w:val="28"/>
          <w:szCs w:val="28"/>
        </w:rPr>
        <w:t> </w:t>
      </w:r>
    </w:p>
    <w:p w14:paraId="536F45ED" w14:textId="4EB1CD17" w:rsidR="00E259B4" w:rsidRPr="006333CC" w:rsidRDefault="00E259B4" w:rsidP="00326A6C">
      <w:pPr>
        <w:spacing w:before="120" w:after="120" w:line="276" w:lineRule="auto"/>
        <w:jc w:val="both"/>
        <w:rPr>
          <w:rFonts w:ascii="Times New Roman" w:hAnsi="Times New Roman" w:cs="Times New Roman"/>
          <w:b/>
          <w:sz w:val="28"/>
          <w:szCs w:val="28"/>
        </w:rPr>
      </w:pPr>
      <w:r w:rsidRPr="006333CC">
        <w:rPr>
          <w:rFonts w:ascii="Times New Roman" w:hAnsi="Times New Roman" w:cs="Times New Roman"/>
          <w:b/>
          <w:sz w:val="28"/>
          <w:szCs w:val="28"/>
        </w:rPr>
        <w:t>Hon</w:t>
      </w:r>
      <w:r w:rsidR="00903967" w:rsidRPr="006333CC">
        <w:rPr>
          <w:rFonts w:ascii="Times New Roman" w:hAnsi="Times New Roman" w:cs="Times New Roman"/>
          <w:b/>
          <w:sz w:val="28"/>
          <w:szCs w:val="28"/>
        </w:rPr>
        <w:t xml:space="preserve">orables Conseillers Nationaux, </w:t>
      </w:r>
    </w:p>
    <w:p w14:paraId="1E27D2A1" w14:textId="2740BAC3" w:rsidR="00632215" w:rsidRPr="006333CC" w:rsidRDefault="002A2E47" w:rsidP="006D5230">
      <w:pPr>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Il ressort de l’analyse de la commission de fond que les </w:t>
      </w:r>
      <w:r w:rsidR="00632215" w:rsidRPr="006333CC">
        <w:rPr>
          <w:rFonts w:ascii="Times New Roman" w:eastAsia="Times New Roman" w:hAnsi="Times New Roman" w:cs="Times New Roman"/>
          <w:color w:val="000000" w:themeColor="text1"/>
          <w:sz w:val="28"/>
          <w:szCs w:val="28"/>
        </w:rPr>
        <w:t>principaux indicateurs d’équilibre du budget se présentent comme suit :</w:t>
      </w:r>
    </w:p>
    <w:p w14:paraId="78C829CD" w14:textId="493B18BE" w:rsidR="00632215" w:rsidRPr="006333CC" w:rsidRDefault="00632215" w:rsidP="00E858A7">
      <w:pPr>
        <w:pStyle w:val="Paragraphedeliste"/>
        <w:numPr>
          <w:ilvl w:val="0"/>
          <w:numId w:val="4"/>
        </w:numPr>
        <w:shd w:val="clear" w:color="auto" w:fill="FFFFFF"/>
        <w:spacing w:before="120" w:after="120"/>
        <w:ind w:left="714" w:hanging="357"/>
        <w:contextualSpacing w:val="0"/>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le déficit budgétaire rapporté au PIB est projeté à 3,81% en 2024 contre 3,86% en 2023</w:t>
      </w:r>
      <w:r w:rsidR="00656427"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pour une norme </w:t>
      </w:r>
      <w:r w:rsidR="009B6376" w:rsidRPr="006333CC">
        <w:rPr>
          <w:rFonts w:ascii="Times New Roman" w:eastAsia="Times New Roman" w:hAnsi="Times New Roman" w:cs="Times New Roman"/>
          <w:color w:val="000000" w:themeColor="text1"/>
          <w:sz w:val="28"/>
          <w:szCs w:val="28"/>
        </w:rPr>
        <w:t>sous régionale</w:t>
      </w:r>
      <w:r w:rsidRPr="006333CC">
        <w:rPr>
          <w:rFonts w:ascii="Times New Roman" w:eastAsia="Times New Roman" w:hAnsi="Times New Roman" w:cs="Times New Roman"/>
          <w:color w:val="000000" w:themeColor="text1"/>
          <w:sz w:val="28"/>
          <w:szCs w:val="28"/>
        </w:rPr>
        <w:t xml:space="preserve"> de 3% maximum ;</w:t>
      </w:r>
    </w:p>
    <w:p w14:paraId="31F889F8" w14:textId="4C67E7F9" w:rsidR="00632215" w:rsidRPr="006333CC" w:rsidRDefault="00632215" w:rsidP="00E858A7">
      <w:pPr>
        <w:pStyle w:val="Paragraphedeliste"/>
        <w:numPr>
          <w:ilvl w:val="0"/>
          <w:numId w:val="4"/>
        </w:numPr>
        <w:shd w:val="clear" w:color="auto" w:fill="FFFFFF"/>
        <w:spacing w:before="120" w:after="120"/>
        <w:ind w:left="714" w:hanging="357"/>
        <w:contextualSpacing w:val="0"/>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le taux d'inflation en moyenne annuelle devrait se situer à 8,9% en 2024 contre 8,6% en 2023</w:t>
      </w:r>
      <w:r w:rsidR="00656427"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pour une norme de taux d’inflation à un chiffre ;</w:t>
      </w:r>
    </w:p>
    <w:p w14:paraId="26D1C989" w14:textId="6CB7E752" w:rsidR="00632215" w:rsidRPr="006333CC" w:rsidRDefault="00632215" w:rsidP="00E858A7">
      <w:pPr>
        <w:pStyle w:val="Paragraphedeliste"/>
        <w:numPr>
          <w:ilvl w:val="0"/>
          <w:numId w:val="4"/>
        </w:numPr>
        <w:shd w:val="clear" w:color="auto" w:fill="FFFFFF"/>
        <w:spacing w:before="120" w:after="120"/>
        <w:ind w:left="714" w:hanging="357"/>
        <w:contextualSpacing w:val="0"/>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l'encours de la dette rapporté au PIB nominal se dégraderait en passant de 32,50% en 2023 pour s’établir à environ 38,50% en 2024</w:t>
      </w:r>
      <w:r w:rsidR="00BE6C3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pour une norme maximale CEDEAO de 70% ;</w:t>
      </w:r>
    </w:p>
    <w:p w14:paraId="592D4976" w14:textId="6B746E49" w:rsidR="00632215" w:rsidRPr="006333CC" w:rsidRDefault="00632215" w:rsidP="00E858A7">
      <w:pPr>
        <w:pStyle w:val="Paragraphedeliste"/>
        <w:numPr>
          <w:ilvl w:val="0"/>
          <w:numId w:val="4"/>
        </w:numPr>
        <w:shd w:val="clear" w:color="auto" w:fill="FFFFFF"/>
        <w:spacing w:before="120" w:after="120"/>
        <w:ind w:left="714" w:hanging="357"/>
        <w:contextualSpacing w:val="0"/>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le ratio masse salariale sur recettes fiscales s’améliorerait en passant de </w:t>
      </w:r>
      <w:r w:rsidRPr="006333CC">
        <w:rPr>
          <w:rFonts w:ascii="Times New Roman" w:hAnsi="Times New Roman" w:cs="Times New Roman"/>
          <w:color w:val="000000" w:themeColor="text1"/>
          <w:sz w:val="28"/>
          <w:szCs w:val="28"/>
        </w:rPr>
        <w:t>30,72</w:t>
      </w:r>
      <w:r w:rsidRPr="006333CC">
        <w:rPr>
          <w:rFonts w:ascii="Times New Roman" w:eastAsia="Times New Roman" w:hAnsi="Times New Roman" w:cs="Times New Roman"/>
          <w:color w:val="000000" w:themeColor="text1"/>
          <w:sz w:val="28"/>
          <w:szCs w:val="28"/>
        </w:rPr>
        <w:t xml:space="preserve">% en 2023 à </w:t>
      </w:r>
      <w:r w:rsidRPr="006333CC">
        <w:rPr>
          <w:rFonts w:ascii="Times New Roman" w:hAnsi="Times New Roman" w:cs="Times New Roman"/>
          <w:color w:val="000000" w:themeColor="text1"/>
          <w:sz w:val="28"/>
          <w:szCs w:val="28"/>
        </w:rPr>
        <w:t>34,44</w:t>
      </w:r>
      <w:r w:rsidRPr="006333CC">
        <w:rPr>
          <w:rFonts w:ascii="Times New Roman" w:eastAsia="Times New Roman" w:hAnsi="Times New Roman" w:cs="Times New Roman"/>
          <w:color w:val="000000" w:themeColor="text1"/>
          <w:sz w:val="28"/>
          <w:szCs w:val="28"/>
        </w:rPr>
        <w:t>% en 2024</w:t>
      </w:r>
      <w:r w:rsidR="00BE6C3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pour une norme de 35% maximum ;</w:t>
      </w:r>
    </w:p>
    <w:p w14:paraId="68A061E3" w14:textId="4ADD34B5" w:rsidR="00632215" w:rsidRPr="006333CC" w:rsidRDefault="00632215" w:rsidP="00E858A7">
      <w:pPr>
        <w:pStyle w:val="Paragraphedeliste"/>
        <w:numPr>
          <w:ilvl w:val="0"/>
          <w:numId w:val="4"/>
        </w:numPr>
        <w:shd w:val="clear" w:color="auto" w:fill="FFFFFF"/>
        <w:spacing w:before="120" w:after="120"/>
        <w:ind w:left="714" w:hanging="357"/>
        <w:contextualSpacing w:val="0"/>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le taux de pression fiscale connaîtrait une</w:t>
      </w:r>
      <w:r w:rsidR="009B6376" w:rsidRPr="006333CC">
        <w:rPr>
          <w:rFonts w:ascii="Times New Roman" w:eastAsia="Times New Roman" w:hAnsi="Times New Roman" w:cs="Times New Roman"/>
          <w:color w:val="000000" w:themeColor="text1"/>
          <w:sz w:val="28"/>
          <w:szCs w:val="28"/>
        </w:rPr>
        <w:t xml:space="preserve"> amélioration en passant de 12</w:t>
      </w:r>
      <w:r w:rsidRPr="006333CC">
        <w:rPr>
          <w:rFonts w:ascii="Times New Roman" w:eastAsia="Times New Roman" w:hAnsi="Times New Roman" w:cs="Times New Roman"/>
          <w:color w:val="000000" w:themeColor="text1"/>
          <w:sz w:val="28"/>
          <w:szCs w:val="28"/>
        </w:rPr>
        <w:t>,</w:t>
      </w:r>
      <w:r w:rsidR="009B6376" w:rsidRPr="006333CC">
        <w:rPr>
          <w:rFonts w:ascii="Times New Roman" w:eastAsia="Times New Roman" w:hAnsi="Times New Roman" w:cs="Times New Roman"/>
          <w:color w:val="000000" w:themeColor="text1"/>
          <w:sz w:val="28"/>
          <w:szCs w:val="28"/>
        </w:rPr>
        <w:t>00</w:t>
      </w:r>
      <w:r w:rsidRPr="006333CC">
        <w:rPr>
          <w:rFonts w:ascii="Times New Roman" w:eastAsia="Times New Roman" w:hAnsi="Times New Roman" w:cs="Times New Roman"/>
          <w:color w:val="000000" w:themeColor="text1"/>
          <w:sz w:val="28"/>
          <w:szCs w:val="28"/>
        </w:rPr>
        <w:t>% en 2023 à 13,25% en 2024, pour une norme minimale de 20%.</w:t>
      </w:r>
    </w:p>
    <w:p w14:paraId="61C69584" w14:textId="0AFD5BFC" w:rsidR="00632215" w:rsidRPr="006333CC" w:rsidRDefault="002A2E47" w:rsidP="00632215">
      <w:pPr>
        <w:shd w:val="clear" w:color="auto" w:fill="FFFFFF"/>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lastRenderedPageBreak/>
        <w:t xml:space="preserve">Ces </w:t>
      </w:r>
      <w:r w:rsidR="00632215" w:rsidRPr="006333CC">
        <w:rPr>
          <w:rFonts w:ascii="Times New Roman" w:eastAsia="Times New Roman" w:hAnsi="Times New Roman" w:cs="Times New Roman"/>
          <w:color w:val="000000" w:themeColor="text1"/>
          <w:sz w:val="28"/>
          <w:szCs w:val="28"/>
        </w:rPr>
        <w:t xml:space="preserve"> principaux ratios budgétaires ne respectent pas les normes communautai</w:t>
      </w:r>
      <w:r w:rsidRPr="006333CC">
        <w:rPr>
          <w:rFonts w:ascii="Times New Roman" w:eastAsia="Times New Roman" w:hAnsi="Times New Roman" w:cs="Times New Roman"/>
          <w:color w:val="000000" w:themeColor="text1"/>
          <w:sz w:val="28"/>
          <w:szCs w:val="28"/>
        </w:rPr>
        <w:t xml:space="preserve">res, exceptés ceux </w:t>
      </w:r>
      <w:r w:rsidR="00632215" w:rsidRPr="006333CC">
        <w:rPr>
          <w:rFonts w:ascii="Times New Roman" w:eastAsia="Times New Roman" w:hAnsi="Times New Roman" w:cs="Times New Roman"/>
          <w:color w:val="000000" w:themeColor="text1"/>
          <w:sz w:val="28"/>
          <w:szCs w:val="28"/>
        </w:rPr>
        <w:t>relatif</w:t>
      </w:r>
      <w:r w:rsidRPr="006333CC">
        <w:rPr>
          <w:rFonts w:ascii="Times New Roman" w:eastAsia="Times New Roman" w:hAnsi="Times New Roman" w:cs="Times New Roman"/>
          <w:color w:val="000000" w:themeColor="text1"/>
          <w:sz w:val="28"/>
          <w:szCs w:val="28"/>
        </w:rPr>
        <w:t>s</w:t>
      </w:r>
      <w:r w:rsidR="00632215" w:rsidRPr="006333CC">
        <w:rPr>
          <w:rFonts w:ascii="Times New Roman" w:eastAsia="Times New Roman" w:hAnsi="Times New Roman" w:cs="Times New Roman"/>
          <w:color w:val="000000" w:themeColor="text1"/>
          <w:sz w:val="28"/>
          <w:szCs w:val="28"/>
        </w:rPr>
        <w:t xml:space="preserve"> au ratio de l'encours de la dette et </w:t>
      </w:r>
      <w:r w:rsidRPr="006333CC">
        <w:rPr>
          <w:rFonts w:ascii="Times New Roman" w:eastAsia="Times New Roman" w:hAnsi="Times New Roman" w:cs="Times New Roman"/>
          <w:color w:val="000000" w:themeColor="text1"/>
          <w:sz w:val="28"/>
          <w:szCs w:val="28"/>
        </w:rPr>
        <w:t>celui</w:t>
      </w:r>
      <w:r w:rsidR="00632215" w:rsidRPr="006333CC">
        <w:rPr>
          <w:rFonts w:ascii="Times New Roman" w:eastAsia="Times New Roman" w:hAnsi="Times New Roman" w:cs="Times New Roman"/>
          <w:color w:val="000000" w:themeColor="text1"/>
          <w:sz w:val="28"/>
          <w:szCs w:val="28"/>
        </w:rPr>
        <w:t xml:space="preserve"> de la masse salariale.</w:t>
      </w:r>
    </w:p>
    <w:p w14:paraId="1A62D8F9" w14:textId="77777777" w:rsidR="00632215" w:rsidRPr="006333CC" w:rsidRDefault="00632215" w:rsidP="00632215">
      <w:pPr>
        <w:spacing w:before="120" w:after="120"/>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Trois indicateurs d’équilibre ont particulièrement retenu l’attention de la Commission. Il s’agit du ratio de la masse salariale, de l’encours de la dette et du taux d’inflation.</w:t>
      </w:r>
    </w:p>
    <w:p w14:paraId="5D2A9123" w14:textId="77777777" w:rsidR="00632215" w:rsidRPr="006333CC" w:rsidRDefault="00632215" w:rsidP="00632215">
      <w:pPr>
        <w:shd w:val="clear" w:color="auto" w:fill="FFFFFF"/>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En ce qui concerne le ratio de la masse salariale, sa progression exponentielle pour 2024, bien que contenue et son poids dans le total du budget de l’État commence à être préoccupants. La Commission recommande la poursuite des efforts entrepris dans le sens de l’amélioration de ce critère.</w:t>
      </w:r>
    </w:p>
    <w:p w14:paraId="450ECCE6" w14:textId="77777777" w:rsidR="00632215" w:rsidRPr="006333CC" w:rsidRDefault="00632215" w:rsidP="00632215">
      <w:pPr>
        <w:shd w:val="clear" w:color="auto" w:fill="FFFFFF"/>
        <w:jc w:val="both"/>
        <w:rPr>
          <w:rFonts w:ascii="Times New Roman" w:hAnsi="Times New Roman" w:cs="Times New Roman"/>
          <w:color w:val="000000" w:themeColor="text1"/>
          <w:sz w:val="28"/>
          <w:szCs w:val="28"/>
        </w:rPr>
      </w:pPr>
    </w:p>
    <w:p w14:paraId="63D75D95" w14:textId="2157A012" w:rsidR="00632215" w:rsidRPr="006333CC" w:rsidRDefault="00632215" w:rsidP="00632215">
      <w:pPr>
        <w:shd w:val="clear" w:color="auto" w:fill="FFFFFF"/>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Pour ce qui est de l’encours de la dette, l’analyse </w:t>
      </w:r>
      <w:r w:rsidR="002A2E47" w:rsidRPr="006333CC">
        <w:rPr>
          <w:rFonts w:ascii="Times New Roman" w:eastAsia="Times New Roman" w:hAnsi="Times New Roman" w:cs="Times New Roman"/>
          <w:color w:val="000000" w:themeColor="text1"/>
          <w:sz w:val="28"/>
          <w:szCs w:val="28"/>
        </w:rPr>
        <w:t>faite par la</w:t>
      </w:r>
      <w:r w:rsidRPr="006333CC">
        <w:rPr>
          <w:rFonts w:ascii="Times New Roman" w:eastAsia="Times New Roman" w:hAnsi="Times New Roman" w:cs="Times New Roman"/>
          <w:color w:val="000000" w:themeColor="text1"/>
          <w:sz w:val="28"/>
          <w:szCs w:val="28"/>
        </w:rPr>
        <w:t xml:space="preserve"> Commission </w:t>
      </w:r>
      <w:r w:rsidR="002A2E47" w:rsidRPr="006333CC">
        <w:rPr>
          <w:rFonts w:ascii="Times New Roman" w:eastAsia="Times New Roman" w:hAnsi="Times New Roman" w:cs="Times New Roman"/>
          <w:color w:val="000000" w:themeColor="text1"/>
          <w:sz w:val="28"/>
          <w:szCs w:val="28"/>
        </w:rPr>
        <w:t xml:space="preserve">montre </w:t>
      </w:r>
      <w:r w:rsidRPr="006333CC">
        <w:rPr>
          <w:rFonts w:ascii="Times New Roman" w:eastAsia="Times New Roman" w:hAnsi="Times New Roman" w:cs="Times New Roman"/>
          <w:color w:val="000000" w:themeColor="text1"/>
          <w:sz w:val="28"/>
          <w:szCs w:val="28"/>
        </w:rPr>
        <w:t xml:space="preserve">une </w:t>
      </w:r>
      <w:r w:rsidR="002A2E47" w:rsidRPr="006333CC">
        <w:rPr>
          <w:rFonts w:ascii="Times New Roman" w:eastAsia="Times New Roman" w:hAnsi="Times New Roman" w:cs="Times New Roman"/>
          <w:color w:val="000000" w:themeColor="text1"/>
          <w:sz w:val="28"/>
          <w:szCs w:val="28"/>
        </w:rPr>
        <w:t xml:space="preserve">progression </w:t>
      </w:r>
      <w:r w:rsidRPr="006333CC">
        <w:rPr>
          <w:rFonts w:ascii="Times New Roman" w:eastAsia="Times New Roman" w:hAnsi="Times New Roman" w:cs="Times New Roman"/>
          <w:color w:val="000000" w:themeColor="text1"/>
          <w:sz w:val="28"/>
          <w:szCs w:val="28"/>
        </w:rPr>
        <w:t xml:space="preserve"> </w:t>
      </w:r>
      <w:r w:rsidR="002A2E47" w:rsidRPr="006333CC">
        <w:rPr>
          <w:rFonts w:ascii="Times New Roman" w:eastAsia="Times New Roman" w:hAnsi="Times New Roman" w:cs="Times New Roman"/>
          <w:color w:val="000000" w:themeColor="text1"/>
          <w:sz w:val="28"/>
          <w:szCs w:val="28"/>
        </w:rPr>
        <w:t xml:space="preserve"> de 6</w:t>
      </w:r>
      <w:r w:rsidRPr="006333CC">
        <w:rPr>
          <w:rFonts w:ascii="Times New Roman" w:eastAsia="Times New Roman" w:hAnsi="Times New Roman" w:cs="Times New Roman"/>
          <w:color w:val="000000" w:themeColor="text1"/>
          <w:sz w:val="28"/>
          <w:szCs w:val="28"/>
        </w:rPr>
        <w:t xml:space="preserve">% </w:t>
      </w:r>
      <w:r w:rsidR="002A2E47" w:rsidRPr="006333CC">
        <w:rPr>
          <w:rFonts w:ascii="Times New Roman" w:eastAsia="Times New Roman" w:hAnsi="Times New Roman" w:cs="Times New Roman"/>
          <w:color w:val="000000" w:themeColor="text1"/>
          <w:sz w:val="28"/>
          <w:szCs w:val="28"/>
        </w:rPr>
        <w:t xml:space="preserve">sur la période 2023-2024. Ce </w:t>
      </w:r>
      <w:r w:rsidRPr="006333CC">
        <w:rPr>
          <w:rFonts w:ascii="Times New Roman" w:eastAsia="Times New Roman" w:hAnsi="Times New Roman" w:cs="Times New Roman"/>
          <w:color w:val="000000" w:themeColor="text1"/>
          <w:sz w:val="28"/>
          <w:szCs w:val="28"/>
        </w:rPr>
        <w:t xml:space="preserve">rythme </w:t>
      </w:r>
      <w:r w:rsidR="00CC664B" w:rsidRPr="006333CC">
        <w:rPr>
          <w:rFonts w:ascii="Times New Roman" w:eastAsia="Times New Roman" w:hAnsi="Times New Roman" w:cs="Times New Roman"/>
          <w:color w:val="000000" w:themeColor="text1"/>
          <w:sz w:val="28"/>
          <w:szCs w:val="28"/>
        </w:rPr>
        <w:t xml:space="preserve">d’accroissement </w:t>
      </w:r>
      <w:r w:rsidRPr="006333CC">
        <w:rPr>
          <w:rFonts w:ascii="Times New Roman" w:eastAsia="Times New Roman" w:hAnsi="Times New Roman" w:cs="Times New Roman"/>
          <w:color w:val="000000" w:themeColor="text1"/>
          <w:sz w:val="28"/>
          <w:szCs w:val="28"/>
        </w:rPr>
        <w:t xml:space="preserve">est plus intense que celui de la richesse nationale (PIB courant) qui est de </w:t>
      </w:r>
      <w:r w:rsidR="00CC664B" w:rsidRPr="006333CC">
        <w:rPr>
          <w:rFonts w:ascii="Times New Roman" w:eastAsia="Times New Roman" w:hAnsi="Times New Roman" w:cs="Times New Roman"/>
          <w:color w:val="000000" w:themeColor="text1"/>
          <w:sz w:val="28"/>
          <w:szCs w:val="28"/>
        </w:rPr>
        <w:t xml:space="preserve">5,4%. </w:t>
      </w:r>
    </w:p>
    <w:p w14:paraId="582E08A6" w14:textId="2A780D1F" w:rsidR="00632215" w:rsidRPr="006333CC" w:rsidRDefault="00632215" w:rsidP="00632215">
      <w:pPr>
        <w:shd w:val="clear" w:color="auto" w:fill="FFFFFF"/>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L’accélération de l’encours de la dette est en grande partie imputable à l’accroissement du niveau de la dette intérieure qui tend à prendre des proportions importantes ces dernières années. Le recours aux prêts </w:t>
      </w:r>
      <w:r w:rsidR="00CC664B" w:rsidRPr="006333CC">
        <w:rPr>
          <w:rFonts w:ascii="Times New Roman" w:eastAsia="Times New Roman" w:hAnsi="Times New Roman" w:cs="Times New Roman"/>
          <w:color w:val="000000" w:themeColor="text1"/>
          <w:sz w:val="28"/>
          <w:szCs w:val="28"/>
        </w:rPr>
        <w:t xml:space="preserve">commerciaux </w:t>
      </w:r>
      <w:r w:rsidRPr="006333CC">
        <w:rPr>
          <w:rFonts w:ascii="Times New Roman" w:eastAsia="Times New Roman" w:hAnsi="Times New Roman" w:cs="Times New Roman"/>
          <w:color w:val="000000" w:themeColor="text1"/>
          <w:sz w:val="28"/>
          <w:szCs w:val="28"/>
        </w:rPr>
        <w:t>refait jour et s’explique en partie par le difficile accès aux prêts à taux concessionnels.</w:t>
      </w:r>
      <w:r w:rsidR="00CC664B" w:rsidRPr="006333CC">
        <w:rPr>
          <w:rFonts w:ascii="Times New Roman" w:eastAsia="Times New Roman" w:hAnsi="Times New Roman" w:cs="Times New Roman"/>
          <w:color w:val="000000" w:themeColor="text1"/>
          <w:sz w:val="28"/>
          <w:szCs w:val="28"/>
        </w:rPr>
        <w:t xml:space="preserve"> En effet, ces types d’emprunts se caractérisent par des taux d’intérêt relativement élevés et de courte maturité</w:t>
      </w:r>
      <w:r w:rsidR="002E1BB0" w:rsidRPr="006333CC">
        <w:rPr>
          <w:rFonts w:ascii="Times New Roman" w:eastAsia="Times New Roman" w:hAnsi="Times New Roman" w:cs="Times New Roman"/>
          <w:color w:val="000000" w:themeColor="text1"/>
          <w:sz w:val="28"/>
          <w:szCs w:val="28"/>
        </w:rPr>
        <w:t>,</w:t>
      </w:r>
      <w:r w:rsidR="00CC664B" w:rsidRPr="006333CC">
        <w:rPr>
          <w:rFonts w:ascii="Times New Roman" w:eastAsia="Times New Roman" w:hAnsi="Times New Roman" w:cs="Times New Roman"/>
          <w:color w:val="000000" w:themeColor="text1"/>
          <w:sz w:val="28"/>
          <w:szCs w:val="28"/>
        </w:rPr>
        <w:t xml:space="preserve"> à l’image de</w:t>
      </w:r>
      <w:r w:rsidR="002E1BB0" w:rsidRPr="006333CC">
        <w:rPr>
          <w:rFonts w:ascii="Times New Roman" w:eastAsia="Times New Roman" w:hAnsi="Times New Roman" w:cs="Times New Roman"/>
          <w:color w:val="000000" w:themeColor="text1"/>
          <w:sz w:val="28"/>
          <w:szCs w:val="28"/>
        </w:rPr>
        <w:t xml:space="preserve"> la</w:t>
      </w:r>
      <w:r w:rsidR="00CC664B" w:rsidRPr="006333CC">
        <w:rPr>
          <w:rFonts w:ascii="Times New Roman" w:eastAsia="Times New Roman" w:hAnsi="Times New Roman" w:cs="Times New Roman"/>
          <w:color w:val="000000" w:themeColor="text1"/>
          <w:sz w:val="28"/>
          <w:szCs w:val="28"/>
        </w:rPr>
        <w:t xml:space="preserve"> convention relative au financement des hôpitaux régionaux.</w:t>
      </w:r>
    </w:p>
    <w:p w14:paraId="34D4D08A" w14:textId="66108BAA" w:rsidR="00CC664B" w:rsidRPr="006333CC" w:rsidRDefault="00632215" w:rsidP="00326A6C">
      <w:pPr>
        <w:shd w:val="clear" w:color="auto" w:fill="FFFFFF"/>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Au vu de cette situation, </w:t>
      </w:r>
      <w:r w:rsidRPr="006333CC">
        <w:rPr>
          <w:rFonts w:ascii="Times New Roman" w:eastAsia="Times New Roman" w:hAnsi="Times New Roman" w:cs="Times New Roman"/>
          <w:b/>
          <w:color w:val="000000" w:themeColor="text1"/>
          <w:sz w:val="28"/>
          <w:szCs w:val="28"/>
        </w:rPr>
        <w:t xml:space="preserve">la </w:t>
      </w:r>
      <w:r w:rsidRPr="006333CC">
        <w:rPr>
          <w:rFonts w:ascii="Times New Roman" w:eastAsia="Times New Roman" w:hAnsi="Times New Roman" w:cs="Times New Roman"/>
          <w:b/>
          <w:sz w:val="28"/>
          <w:szCs w:val="28"/>
        </w:rPr>
        <w:t xml:space="preserve">Commission </w:t>
      </w:r>
      <w:r w:rsidR="00CC664B" w:rsidRPr="006333CC">
        <w:rPr>
          <w:rFonts w:ascii="Times New Roman" w:eastAsia="Times New Roman" w:hAnsi="Times New Roman" w:cs="Times New Roman"/>
          <w:b/>
          <w:color w:val="000000" w:themeColor="text1"/>
          <w:sz w:val="28"/>
          <w:szCs w:val="28"/>
        </w:rPr>
        <w:t>invite le</w:t>
      </w:r>
      <w:r w:rsidRPr="006333CC">
        <w:rPr>
          <w:rFonts w:ascii="Times New Roman" w:eastAsia="Times New Roman" w:hAnsi="Times New Roman" w:cs="Times New Roman"/>
          <w:b/>
          <w:color w:val="000000" w:themeColor="text1"/>
          <w:sz w:val="28"/>
          <w:szCs w:val="28"/>
        </w:rPr>
        <w:t xml:space="preserve"> Gouvernement </w:t>
      </w:r>
      <w:r w:rsidR="00CC664B" w:rsidRPr="006333CC">
        <w:rPr>
          <w:rFonts w:ascii="Times New Roman" w:eastAsia="Times New Roman" w:hAnsi="Times New Roman" w:cs="Times New Roman"/>
          <w:b/>
          <w:color w:val="000000" w:themeColor="text1"/>
          <w:sz w:val="28"/>
          <w:szCs w:val="28"/>
        </w:rPr>
        <w:t>à veiller</w:t>
      </w:r>
      <w:r w:rsidR="002E1BB0" w:rsidRPr="006333CC">
        <w:rPr>
          <w:rFonts w:ascii="Times New Roman" w:eastAsia="Times New Roman" w:hAnsi="Times New Roman" w:cs="Times New Roman"/>
          <w:b/>
          <w:color w:val="000000" w:themeColor="text1"/>
          <w:sz w:val="28"/>
          <w:szCs w:val="28"/>
        </w:rPr>
        <w:t xml:space="preserve"> à ce</w:t>
      </w:r>
      <w:r w:rsidRPr="006333CC">
        <w:rPr>
          <w:rFonts w:ascii="Times New Roman" w:eastAsia="Times New Roman" w:hAnsi="Times New Roman" w:cs="Times New Roman"/>
          <w:b/>
          <w:color w:val="000000" w:themeColor="text1"/>
          <w:sz w:val="28"/>
          <w:szCs w:val="28"/>
        </w:rPr>
        <w:t xml:space="preserve"> que les emprunts soient adossés à des projets d’investissement spécifiques et non au financement classique du fonctionnement de l’Etat</w:t>
      </w:r>
      <w:r w:rsidR="002E1BB0" w:rsidRPr="006333CC">
        <w:rPr>
          <w:rFonts w:ascii="Times New Roman" w:eastAsia="Times New Roman" w:hAnsi="Times New Roman" w:cs="Times New Roman"/>
          <w:b/>
          <w:color w:val="000000" w:themeColor="text1"/>
          <w:sz w:val="28"/>
          <w:szCs w:val="28"/>
        </w:rPr>
        <w:t>,</w:t>
      </w:r>
      <w:r w:rsidRPr="006333CC">
        <w:rPr>
          <w:rFonts w:ascii="Times New Roman" w:eastAsia="Times New Roman" w:hAnsi="Times New Roman" w:cs="Times New Roman"/>
          <w:b/>
          <w:color w:val="000000" w:themeColor="text1"/>
          <w:sz w:val="28"/>
          <w:szCs w:val="28"/>
        </w:rPr>
        <w:t xml:space="preserve"> qui ne garantit pas le retour sur investissement</w:t>
      </w:r>
      <w:r w:rsidR="00CC664B" w:rsidRPr="006333CC">
        <w:rPr>
          <w:rFonts w:ascii="Times New Roman" w:eastAsia="Times New Roman" w:hAnsi="Times New Roman" w:cs="Times New Roman"/>
          <w:b/>
          <w:color w:val="000000" w:themeColor="text1"/>
          <w:sz w:val="28"/>
          <w:szCs w:val="28"/>
        </w:rPr>
        <w:t>.</w:t>
      </w:r>
      <w:r w:rsidRPr="006333CC">
        <w:rPr>
          <w:rFonts w:ascii="Times New Roman" w:eastAsia="Times New Roman" w:hAnsi="Times New Roman" w:cs="Times New Roman"/>
          <w:color w:val="000000" w:themeColor="text1"/>
          <w:sz w:val="28"/>
          <w:szCs w:val="28"/>
        </w:rPr>
        <w:t xml:space="preserve"> </w:t>
      </w:r>
    </w:p>
    <w:p w14:paraId="30C6BE5F" w14:textId="77777777" w:rsidR="00632215" w:rsidRPr="006333CC" w:rsidRDefault="00632215" w:rsidP="00632215">
      <w:pPr>
        <w:spacing w:before="120" w:after="120" w:line="276" w:lineRule="auto"/>
        <w:jc w:val="both"/>
        <w:rPr>
          <w:rFonts w:ascii="Times New Roman" w:hAnsi="Times New Roman" w:cs="Times New Roman"/>
          <w:b/>
          <w:color w:val="000000" w:themeColor="text1"/>
          <w:sz w:val="28"/>
          <w:szCs w:val="28"/>
        </w:rPr>
      </w:pPr>
      <w:r w:rsidRPr="006333CC">
        <w:rPr>
          <w:rFonts w:ascii="Times New Roman" w:hAnsi="Times New Roman" w:cs="Times New Roman"/>
          <w:b/>
          <w:color w:val="000000" w:themeColor="text1"/>
          <w:sz w:val="28"/>
          <w:szCs w:val="28"/>
        </w:rPr>
        <w:t xml:space="preserve">Honorables Conseillers Nationaux, </w:t>
      </w:r>
    </w:p>
    <w:p w14:paraId="78FABAB0" w14:textId="390651D9" w:rsidR="00632215" w:rsidRPr="006333CC" w:rsidRDefault="00632215" w:rsidP="00DB0102">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Pour s’assurer de l’effectivité de la mise en œuvre des priorités de la transition, le CNT, à travers ses Commissions permanentes, a examiné les budgets des départements ministériels et institutions réputés être au cœur de la </w:t>
      </w:r>
      <w:r w:rsidR="002E1BB0" w:rsidRPr="006333CC">
        <w:rPr>
          <w:rFonts w:ascii="Times New Roman" w:eastAsia="Times New Roman" w:hAnsi="Times New Roman" w:cs="Times New Roman"/>
          <w:color w:val="000000" w:themeColor="text1"/>
          <w:sz w:val="28"/>
          <w:szCs w:val="28"/>
        </w:rPr>
        <w:t>T</w:t>
      </w:r>
      <w:r w:rsidRPr="006333CC">
        <w:rPr>
          <w:rFonts w:ascii="Times New Roman" w:eastAsia="Times New Roman" w:hAnsi="Times New Roman" w:cs="Times New Roman"/>
          <w:color w:val="000000" w:themeColor="text1"/>
          <w:sz w:val="28"/>
          <w:szCs w:val="28"/>
        </w:rPr>
        <w:t>ransition. Le principal critère retenu dans le cadre de l’examen, est le niveau d’allocations des ressources par rapport aux dotations de l’anné</w:t>
      </w:r>
      <w:r w:rsidR="00DB0102" w:rsidRPr="006333CC">
        <w:rPr>
          <w:rFonts w:ascii="Times New Roman" w:eastAsia="Times New Roman" w:hAnsi="Times New Roman" w:cs="Times New Roman"/>
          <w:color w:val="000000" w:themeColor="text1"/>
          <w:sz w:val="28"/>
          <w:szCs w:val="28"/>
        </w:rPr>
        <w:t>e 2023.</w:t>
      </w:r>
    </w:p>
    <w:p w14:paraId="45D8D91D" w14:textId="1794127C" w:rsidR="00632215" w:rsidRPr="006333CC" w:rsidRDefault="00632215" w:rsidP="00632215">
      <w:pPr>
        <w:spacing w:before="120" w:after="120"/>
        <w:jc w:val="both"/>
        <w:rPr>
          <w:rFonts w:ascii="Times New Roman" w:hAnsi="Times New Roman" w:cs="Times New Roman"/>
          <w:color w:val="000000" w:themeColor="text1"/>
          <w:sz w:val="28"/>
          <w:szCs w:val="28"/>
        </w:rPr>
      </w:pPr>
      <w:bookmarkStart w:id="3" w:name="_Hlk154780857"/>
      <w:r w:rsidRPr="006333CC">
        <w:rPr>
          <w:rFonts w:ascii="Times New Roman" w:hAnsi="Times New Roman" w:cs="Times New Roman"/>
          <w:color w:val="000000" w:themeColor="text1"/>
          <w:sz w:val="28"/>
          <w:szCs w:val="28"/>
        </w:rPr>
        <w:t xml:space="preserve">Le niveau d’allocation des crédits budgétaires de fonctionnement des ministères et institutions au cœur des missions de la </w:t>
      </w:r>
      <w:r w:rsidR="002E1BB0" w:rsidRPr="006333CC">
        <w:rPr>
          <w:rFonts w:ascii="Times New Roman" w:hAnsi="Times New Roman" w:cs="Times New Roman"/>
          <w:color w:val="000000" w:themeColor="text1"/>
          <w:sz w:val="28"/>
          <w:szCs w:val="28"/>
        </w:rPr>
        <w:t>T</w:t>
      </w:r>
      <w:r w:rsidRPr="006333CC">
        <w:rPr>
          <w:rFonts w:ascii="Times New Roman" w:hAnsi="Times New Roman" w:cs="Times New Roman"/>
          <w:color w:val="000000" w:themeColor="text1"/>
          <w:sz w:val="28"/>
          <w:szCs w:val="28"/>
        </w:rPr>
        <w:t>ransition</w:t>
      </w:r>
      <w:r w:rsidR="002E1BB0"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à savoir : le Ministère de la Défense Nationale, le Ministère de la Sécurité et de la Protection Civile, le Ministère de l’Administration du Territoire et de la Décentralisation, le Ministère de la Justice et des Droits de l’homme, le Ministère du Plan et de la Coopération Internationale, le Conseil National de la Transition, la Cour des Comptes, la Cour Suprême, la Haute Autorité de la Communication, connaît une hausse globale de 5,94%</w:t>
      </w:r>
      <w:r w:rsidR="002E1BB0"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avec des disparités importantes. La variation la plus significative est </w:t>
      </w:r>
      <w:r w:rsidRPr="006333CC">
        <w:rPr>
          <w:rFonts w:ascii="Times New Roman" w:hAnsi="Times New Roman" w:cs="Times New Roman"/>
          <w:color w:val="000000" w:themeColor="text1"/>
          <w:sz w:val="28"/>
          <w:szCs w:val="28"/>
        </w:rPr>
        <w:lastRenderedPageBreak/>
        <w:t>observée au niveau du MATD avec un accroissement de 24,89%</w:t>
      </w:r>
      <w:r w:rsidR="002E1BB0"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en raison des dépenses </w:t>
      </w:r>
      <w:r w:rsidR="002E1BB0" w:rsidRPr="006333CC">
        <w:rPr>
          <w:rFonts w:ascii="Times New Roman" w:hAnsi="Times New Roman" w:cs="Times New Roman"/>
          <w:color w:val="000000" w:themeColor="text1"/>
          <w:sz w:val="28"/>
          <w:szCs w:val="28"/>
        </w:rPr>
        <w:t>se rapportant</w:t>
      </w:r>
      <w:r w:rsidRPr="006333CC">
        <w:rPr>
          <w:rFonts w:ascii="Times New Roman" w:hAnsi="Times New Roman" w:cs="Times New Roman"/>
          <w:color w:val="000000" w:themeColor="text1"/>
          <w:sz w:val="28"/>
          <w:szCs w:val="28"/>
        </w:rPr>
        <w:t xml:space="preserve"> au chronogramme de la </w:t>
      </w:r>
      <w:r w:rsidR="002E1BB0" w:rsidRPr="006333CC">
        <w:rPr>
          <w:rFonts w:ascii="Times New Roman" w:hAnsi="Times New Roman" w:cs="Times New Roman"/>
          <w:color w:val="000000" w:themeColor="text1"/>
          <w:sz w:val="28"/>
          <w:szCs w:val="28"/>
        </w:rPr>
        <w:t>T</w:t>
      </w:r>
      <w:r w:rsidRPr="006333CC">
        <w:rPr>
          <w:rFonts w:ascii="Times New Roman" w:hAnsi="Times New Roman" w:cs="Times New Roman"/>
          <w:color w:val="000000" w:themeColor="text1"/>
          <w:sz w:val="28"/>
          <w:szCs w:val="28"/>
        </w:rPr>
        <w:t>ransition</w:t>
      </w:r>
      <w:r w:rsidR="002E1BB0"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prévues pour environ 649 Mds.</w:t>
      </w:r>
    </w:p>
    <w:p w14:paraId="2B0E0C05" w14:textId="14FF9D54" w:rsidR="00632215" w:rsidRPr="006333CC" w:rsidRDefault="00632215" w:rsidP="00632215">
      <w:pPr>
        <w:spacing w:before="120" w:after="120"/>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 xml:space="preserve">Cette variation témoigne de la volonté du Gouvernement de la </w:t>
      </w:r>
      <w:r w:rsidR="002E1BB0" w:rsidRPr="006333CC">
        <w:rPr>
          <w:rFonts w:ascii="Times New Roman" w:hAnsi="Times New Roman" w:cs="Times New Roman"/>
          <w:color w:val="000000" w:themeColor="text1"/>
          <w:sz w:val="28"/>
          <w:szCs w:val="28"/>
        </w:rPr>
        <w:t>T</w:t>
      </w:r>
      <w:r w:rsidRPr="006333CC">
        <w:rPr>
          <w:rFonts w:ascii="Times New Roman" w:hAnsi="Times New Roman" w:cs="Times New Roman"/>
          <w:color w:val="000000" w:themeColor="text1"/>
          <w:sz w:val="28"/>
          <w:szCs w:val="28"/>
        </w:rPr>
        <w:t>ransitio</w:t>
      </w:r>
      <w:r w:rsidR="00DB0102" w:rsidRPr="006333CC">
        <w:rPr>
          <w:rFonts w:ascii="Times New Roman" w:hAnsi="Times New Roman" w:cs="Times New Roman"/>
          <w:color w:val="000000" w:themeColor="text1"/>
          <w:sz w:val="28"/>
          <w:szCs w:val="28"/>
        </w:rPr>
        <w:t>n</w:t>
      </w:r>
      <w:r w:rsidR="002E1BB0" w:rsidRPr="006333CC">
        <w:rPr>
          <w:rFonts w:ascii="Times New Roman" w:hAnsi="Times New Roman" w:cs="Times New Roman"/>
          <w:color w:val="000000" w:themeColor="text1"/>
          <w:sz w:val="28"/>
          <w:szCs w:val="28"/>
        </w:rPr>
        <w:t>,</w:t>
      </w:r>
      <w:r w:rsidR="00DB0102" w:rsidRPr="006333CC">
        <w:rPr>
          <w:rFonts w:ascii="Times New Roman" w:hAnsi="Times New Roman" w:cs="Times New Roman"/>
          <w:color w:val="000000" w:themeColor="text1"/>
          <w:sz w:val="28"/>
          <w:szCs w:val="28"/>
        </w:rPr>
        <w:t xml:space="preserve"> dans sa détermination à </w:t>
      </w:r>
      <w:r w:rsidRPr="006333CC">
        <w:rPr>
          <w:rFonts w:ascii="Times New Roman" w:hAnsi="Times New Roman" w:cs="Times New Roman"/>
          <w:color w:val="000000" w:themeColor="text1"/>
          <w:sz w:val="28"/>
          <w:szCs w:val="28"/>
        </w:rPr>
        <w:t xml:space="preserve"> </w:t>
      </w:r>
      <w:r w:rsidR="00DB0102" w:rsidRPr="006333CC">
        <w:rPr>
          <w:rFonts w:ascii="Times New Roman" w:hAnsi="Times New Roman" w:cs="Times New Roman"/>
          <w:color w:val="000000" w:themeColor="text1"/>
          <w:sz w:val="28"/>
          <w:szCs w:val="28"/>
        </w:rPr>
        <w:t xml:space="preserve">réussir </w:t>
      </w:r>
      <w:r w:rsidRPr="006333CC">
        <w:rPr>
          <w:rFonts w:ascii="Times New Roman" w:hAnsi="Times New Roman" w:cs="Times New Roman"/>
          <w:color w:val="000000" w:themeColor="text1"/>
          <w:sz w:val="28"/>
          <w:szCs w:val="28"/>
        </w:rPr>
        <w:t xml:space="preserve">la rectification institutionnelle. </w:t>
      </w:r>
    </w:p>
    <w:p w14:paraId="54EFF787" w14:textId="0A7F05AF" w:rsidR="00632215" w:rsidRPr="006333CC" w:rsidRDefault="00632215" w:rsidP="00632215">
      <w:pPr>
        <w:spacing w:before="120" w:after="120"/>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 xml:space="preserve">Il est à noter que le besoin en infrastructures de base n’a pas été omis. Le budget du Ministère des Infrastructures et </w:t>
      </w:r>
      <w:r w:rsidR="00DB0102" w:rsidRPr="006333CC">
        <w:rPr>
          <w:rFonts w:ascii="Times New Roman" w:hAnsi="Times New Roman" w:cs="Times New Roman"/>
          <w:color w:val="000000" w:themeColor="text1"/>
          <w:sz w:val="28"/>
          <w:szCs w:val="28"/>
        </w:rPr>
        <w:t xml:space="preserve">des </w:t>
      </w:r>
      <w:r w:rsidRPr="006333CC">
        <w:rPr>
          <w:rFonts w:ascii="Times New Roman" w:hAnsi="Times New Roman" w:cs="Times New Roman"/>
          <w:color w:val="000000" w:themeColor="text1"/>
          <w:sz w:val="28"/>
          <w:szCs w:val="28"/>
        </w:rPr>
        <w:t>Travaux Publics croit de 22,78%.</w:t>
      </w:r>
    </w:p>
    <w:bookmarkEnd w:id="3"/>
    <w:p w14:paraId="74294996" w14:textId="77777777" w:rsidR="00632215" w:rsidRPr="006333CC" w:rsidRDefault="00632215" w:rsidP="00632215">
      <w:pPr>
        <w:jc w:val="both"/>
        <w:rPr>
          <w:rFonts w:ascii="Times New Roman" w:eastAsia="Times New Roman" w:hAnsi="Times New Roman" w:cs="Times New Roman"/>
          <w:b/>
          <w:color w:val="000000" w:themeColor="text1"/>
          <w:sz w:val="28"/>
          <w:szCs w:val="28"/>
        </w:rPr>
      </w:pPr>
    </w:p>
    <w:p w14:paraId="6EF8EF22" w14:textId="45AE317C" w:rsidR="00632215" w:rsidRPr="006333CC" w:rsidRDefault="00632215" w:rsidP="00632215">
      <w:pPr>
        <w:jc w:val="both"/>
        <w:rPr>
          <w:rFonts w:ascii="Times New Roman" w:eastAsia="Times New Roman" w:hAnsi="Times New Roman" w:cs="Times New Roman"/>
          <w:b/>
          <w:color w:val="000000" w:themeColor="text1"/>
          <w:sz w:val="28"/>
          <w:szCs w:val="28"/>
        </w:rPr>
      </w:pPr>
      <w:r w:rsidRPr="006333CC">
        <w:rPr>
          <w:rFonts w:ascii="Times New Roman" w:eastAsia="Times New Roman" w:hAnsi="Times New Roman" w:cs="Times New Roman"/>
          <w:b/>
          <w:color w:val="000000" w:themeColor="text1"/>
          <w:sz w:val="28"/>
          <w:szCs w:val="28"/>
        </w:rPr>
        <w:t>Honorables Conseillers Nationaux</w:t>
      </w:r>
      <w:r w:rsidR="009706EA" w:rsidRPr="006333CC">
        <w:rPr>
          <w:rFonts w:ascii="Times New Roman" w:eastAsia="Times New Roman" w:hAnsi="Times New Roman" w:cs="Times New Roman"/>
          <w:b/>
          <w:color w:val="000000" w:themeColor="text1"/>
          <w:sz w:val="28"/>
          <w:szCs w:val="28"/>
        </w:rPr>
        <w:t> ;</w:t>
      </w:r>
    </w:p>
    <w:p w14:paraId="725D908A" w14:textId="77777777" w:rsidR="00DB0102" w:rsidRPr="006333CC" w:rsidRDefault="00DB0102" w:rsidP="00632215">
      <w:pPr>
        <w:jc w:val="both"/>
        <w:rPr>
          <w:rFonts w:ascii="Times New Roman" w:eastAsia="Times New Roman" w:hAnsi="Times New Roman" w:cs="Times New Roman"/>
          <w:color w:val="000000" w:themeColor="text1"/>
          <w:sz w:val="28"/>
          <w:szCs w:val="28"/>
        </w:rPr>
      </w:pPr>
    </w:p>
    <w:p w14:paraId="5EFADE11" w14:textId="2CB2BCF7" w:rsidR="00632215" w:rsidRPr="006333CC" w:rsidRDefault="0063221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Le niveau d’exécution des dépenses d’investissement</w:t>
      </w:r>
      <w:r w:rsidR="008C677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w:t>
      </w:r>
      <w:r w:rsidR="00DB0102" w:rsidRPr="006333CC">
        <w:rPr>
          <w:rFonts w:ascii="Times New Roman" w:eastAsia="Times New Roman" w:hAnsi="Times New Roman" w:cs="Times New Roman"/>
          <w:color w:val="000000" w:themeColor="text1"/>
          <w:sz w:val="28"/>
          <w:szCs w:val="28"/>
        </w:rPr>
        <w:t xml:space="preserve">prévu dans la LFR 2023 </w:t>
      </w:r>
      <w:r w:rsidRPr="006333CC">
        <w:rPr>
          <w:rFonts w:ascii="Times New Roman" w:eastAsia="Times New Roman" w:hAnsi="Times New Roman" w:cs="Times New Roman"/>
          <w:color w:val="000000" w:themeColor="text1"/>
          <w:sz w:val="28"/>
          <w:szCs w:val="28"/>
        </w:rPr>
        <w:t>se présente comme suit</w:t>
      </w:r>
      <w:r w:rsidR="008C677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w:t>
      </w:r>
      <w:r w:rsidR="008C6771" w:rsidRPr="006333CC">
        <w:rPr>
          <w:rFonts w:ascii="Times New Roman" w:eastAsia="Times New Roman" w:hAnsi="Times New Roman" w:cs="Times New Roman"/>
          <w:color w:val="000000" w:themeColor="text1"/>
          <w:sz w:val="28"/>
          <w:szCs w:val="28"/>
        </w:rPr>
        <w:t xml:space="preserve">à la date du 15 décembre </w:t>
      </w:r>
      <w:r w:rsidRPr="006333CC">
        <w:rPr>
          <w:rFonts w:ascii="Times New Roman" w:eastAsia="Times New Roman" w:hAnsi="Times New Roman" w:cs="Times New Roman"/>
          <w:color w:val="000000" w:themeColor="text1"/>
          <w:sz w:val="28"/>
          <w:szCs w:val="28"/>
        </w:rPr>
        <w:t>:</w:t>
      </w:r>
    </w:p>
    <w:p w14:paraId="59260F9C" w14:textId="77777777" w:rsidR="00632215" w:rsidRPr="003D0996" w:rsidRDefault="00632215" w:rsidP="00632215">
      <w:pPr>
        <w:jc w:val="both"/>
        <w:rPr>
          <w:rFonts w:ascii="Times New Roman" w:eastAsia="Times New Roman" w:hAnsi="Times New Roman" w:cs="Times New Roman"/>
          <w:i/>
          <w:color w:val="000000" w:themeColor="text1"/>
          <w:sz w:val="24"/>
          <w:szCs w:val="24"/>
        </w:rPr>
      </w:pPr>
    </w:p>
    <w:tbl>
      <w:tblPr>
        <w:tblW w:w="9701" w:type="dxa"/>
        <w:tblInd w:w="-147" w:type="dxa"/>
        <w:tblLook w:val="04A0" w:firstRow="1" w:lastRow="0" w:firstColumn="1" w:lastColumn="0" w:noHBand="0" w:noVBand="1"/>
      </w:tblPr>
      <w:tblGrid>
        <w:gridCol w:w="643"/>
        <w:gridCol w:w="4461"/>
        <w:gridCol w:w="1677"/>
        <w:gridCol w:w="1677"/>
        <w:gridCol w:w="1243"/>
      </w:tblGrid>
      <w:tr w:rsidR="00632215" w:rsidRPr="003D0996" w14:paraId="4C45930D" w14:textId="77777777" w:rsidTr="00326A6C">
        <w:trPr>
          <w:trHeight w:val="153"/>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431C0EB"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proofErr w:type="spellStart"/>
            <w:r w:rsidRPr="003D0996">
              <w:rPr>
                <w:rFonts w:ascii="Times New Roman" w:eastAsia="Times New Roman" w:hAnsi="Times New Roman" w:cs="Times New Roman"/>
                <w:bCs/>
                <w:color w:val="000000" w:themeColor="text1"/>
                <w:sz w:val="20"/>
                <w:szCs w:val="20"/>
              </w:rPr>
              <w:t>Sect</w:t>
            </w:r>
            <w:proofErr w:type="spellEnd"/>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2CAC5"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Libelle section</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02E9A16A"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 xml:space="preserve"> Crédit LFR </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57E21BAD"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Exécution</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184C9039"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Taux Exécution</w:t>
            </w:r>
          </w:p>
        </w:tc>
      </w:tr>
      <w:tr w:rsidR="00632215" w:rsidRPr="003D0996" w14:paraId="34D3E4E0" w14:textId="77777777" w:rsidTr="00326A6C">
        <w:trPr>
          <w:trHeight w:val="251"/>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4274A58"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125BC5AC"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Présidence de la République</w:t>
            </w:r>
          </w:p>
        </w:tc>
        <w:tc>
          <w:tcPr>
            <w:tcW w:w="1677" w:type="dxa"/>
            <w:tcBorders>
              <w:top w:val="nil"/>
              <w:left w:val="nil"/>
              <w:bottom w:val="single" w:sz="4" w:space="0" w:color="auto"/>
              <w:right w:val="single" w:sz="4" w:space="0" w:color="auto"/>
            </w:tcBorders>
            <w:shd w:val="clear" w:color="auto" w:fill="auto"/>
            <w:noWrap/>
            <w:vAlign w:val="center"/>
            <w:hideMark/>
          </w:tcPr>
          <w:p w14:paraId="65BB17B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17 366 574 616    </w:t>
            </w:r>
          </w:p>
        </w:tc>
        <w:tc>
          <w:tcPr>
            <w:tcW w:w="1677" w:type="dxa"/>
            <w:tcBorders>
              <w:top w:val="nil"/>
              <w:left w:val="nil"/>
              <w:bottom w:val="single" w:sz="4" w:space="0" w:color="auto"/>
              <w:right w:val="nil"/>
            </w:tcBorders>
            <w:shd w:val="clear" w:color="auto" w:fill="auto"/>
            <w:noWrap/>
            <w:vAlign w:val="center"/>
            <w:hideMark/>
          </w:tcPr>
          <w:p w14:paraId="5588FB0D"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  17 366 574 616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03141770"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100,0%</w:t>
            </w:r>
          </w:p>
        </w:tc>
      </w:tr>
      <w:tr w:rsidR="00632215" w:rsidRPr="003D0996" w14:paraId="22DECDE6"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0004044"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64AE47D8"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Primature</w:t>
            </w:r>
          </w:p>
        </w:tc>
        <w:tc>
          <w:tcPr>
            <w:tcW w:w="1677" w:type="dxa"/>
            <w:tcBorders>
              <w:top w:val="nil"/>
              <w:left w:val="nil"/>
              <w:bottom w:val="single" w:sz="4" w:space="0" w:color="auto"/>
              <w:right w:val="single" w:sz="4" w:space="0" w:color="auto"/>
            </w:tcBorders>
            <w:shd w:val="clear" w:color="auto" w:fill="auto"/>
            <w:noWrap/>
            <w:vAlign w:val="center"/>
            <w:hideMark/>
          </w:tcPr>
          <w:p w14:paraId="0D070CD4"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10 351 000 000    </w:t>
            </w:r>
          </w:p>
        </w:tc>
        <w:tc>
          <w:tcPr>
            <w:tcW w:w="1677" w:type="dxa"/>
            <w:tcBorders>
              <w:top w:val="nil"/>
              <w:left w:val="nil"/>
              <w:bottom w:val="single" w:sz="4" w:space="0" w:color="auto"/>
              <w:right w:val="nil"/>
            </w:tcBorders>
            <w:shd w:val="clear" w:color="auto" w:fill="auto"/>
            <w:noWrap/>
            <w:vAlign w:val="center"/>
            <w:hideMark/>
          </w:tcPr>
          <w:p w14:paraId="6283CEF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9 060 468 800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5A70103"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87,5%</w:t>
            </w:r>
          </w:p>
        </w:tc>
      </w:tr>
      <w:tr w:rsidR="00632215" w:rsidRPr="003D0996" w14:paraId="7D978D88"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588DA321"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4CB81A21"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Défense Nationale</w:t>
            </w:r>
          </w:p>
        </w:tc>
        <w:tc>
          <w:tcPr>
            <w:tcW w:w="1677" w:type="dxa"/>
            <w:tcBorders>
              <w:top w:val="nil"/>
              <w:left w:val="nil"/>
              <w:bottom w:val="single" w:sz="4" w:space="0" w:color="auto"/>
              <w:right w:val="single" w:sz="4" w:space="0" w:color="auto"/>
            </w:tcBorders>
            <w:shd w:val="clear" w:color="auto" w:fill="auto"/>
            <w:noWrap/>
            <w:vAlign w:val="center"/>
            <w:hideMark/>
          </w:tcPr>
          <w:p w14:paraId="4DCF4877"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429 532 718 977    </w:t>
            </w:r>
          </w:p>
        </w:tc>
        <w:tc>
          <w:tcPr>
            <w:tcW w:w="1677" w:type="dxa"/>
            <w:tcBorders>
              <w:top w:val="nil"/>
              <w:left w:val="nil"/>
              <w:bottom w:val="single" w:sz="4" w:space="0" w:color="auto"/>
              <w:right w:val="nil"/>
            </w:tcBorders>
            <w:shd w:val="clear" w:color="auto" w:fill="auto"/>
            <w:noWrap/>
            <w:vAlign w:val="center"/>
            <w:hideMark/>
          </w:tcPr>
          <w:p w14:paraId="241BED53"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  422 915 940 000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5E6C58CD"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98,5%</w:t>
            </w:r>
          </w:p>
        </w:tc>
      </w:tr>
      <w:tr w:rsidR="00632215" w:rsidRPr="003D0996" w14:paraId="5EB087F0" w14:textId="77777777" w:rsidTr="00326A6C">
        <w:trPr>
          <w:trHeight w:val="218"/>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3A1D8B2D"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4</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1A70FF10"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l'Administration du Territoire et de la Décentralisation</w:t>
            </w:r>
          </w:p>
        </w:tc>
        <w:tc>
          <w:tcPr>
            <w:tcW w:w="1677" w:type="dxa"/>
            <w:tcBorders>
              <w:top w:val="nil"/>
              <w:left w:val="nil"/>
              <w:bottom w:val="single" w:sz="4" w:space="0" w:color="auto"/>
              <w:right w:val="single" w:sz="4" w:space="0" w:color="auto"/>
            </w:tcBorders>
            <w:shd w:val="clear" w:color="auto" w:fill="auto"/>
            <w:noWrap/>
            <w:vAlign w:val="center"/>
            <w:hideMark/>
          </w:tcPr>
          <w:p w14:paraId="7BF5C7C0"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1 467 491 505 583    </w:t>
            </w:r>
          </w:p>
        </w:tc>
        <w:tc>
          <w:tcPr>
            <w:tcW w:w="1677" w:type="dxa"/>
            <w:tcBorders>
              <w:top w:val="nil"/>
              <w:left w:val="nil"/>
              <w:bottom w:val="single" w:sz="4" w:space="0" w:color="auto"/>
              <w:right w:val="nil"/>
            </w:tcBorders>
            <w:shd w:val="clear" w:color="auto" w:fill="auto"/>
            <w:noWrap/>
            <w:vAlign w:val="center"/>
            <w:hideMark/>
          </w:tcPr>
          <w:p w14:paraId="1EFD00C5"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356 762 231 704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6B134E52"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24,3%</w:t>
            </w:r>
          </w:p>
        </w:tc>
      </w:tr>
      <w:tr w:rsidR="00632215" w:rsidRPr="003D0996" w14:paraId="2FCE9C49"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355BEE9C"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5</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22DDAA25"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Sécurité et de la Protection Civile</w:t>
            </w:r>
          </w:p>
        </w:tc>
        <w:tc>
          <w:tcPr>
            <w:tcW w:w="1677" w:type="dxa"/>
            <w:tcBorders>
              <w:top w:val="nil"/>
              <w:left w:val="nil"/>
              <w:bottom w:val="single" w:sz="4" w:space="0" w:color="auto"/>
              <w:right w:val="single" w:sz="4" w:space="0" w:color="auto"/>
            </w:tcBorders>
            <w:shd w:val="clear" w:color="auto" w:fill="auto"/>
            <w:noWrap/>
            <w:vAlign w:val="center"/>
            <w:hideMark/>
          </w:tcPr>
          <w:p w14:paraId="2CD50E4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141 650 126 131    </w:t>
            </w:r>
          </w:p>
        </w:tc>
        <w:tc>
          <w:tcPr>
            <w:tcW w:w="1677" w:type="dxa"/>
            <w:tcBorders>
              <w:top w:val="nil"/>
              <w:left w:val="nil"/>
              <w:bottom w:val="single" w:sz="4" w:space="0" w:color="auto"/>
              <w:right w:val="nil"/>
            </w:tcBorders>
            <w:shd w:val="clear" w:color="auto" w:fill="auto"/>
            <w:noWrap/>
            <w:vAlign w:val="center"/>
            <w:hideMark/>
          </w:tcPr>
          <w:p w14:paraId="0490B207"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68 580 397 346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3E0A64ED"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48,4%</w:t>
            </w:r>
          </w:p>
        </w:tc>
      </w:tr>
      <w:tr w:rsidR="00632215" w:rsidRPr="003D0996" w14:paraId="7521C5CE" w14:textId="77777777" w:rsidTr="00326A6C">
        <w:trPr>
          <w:trHeight w:val="274"/>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44E5B3D"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6</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6D0EE7E8"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Garde des Sceaux, Ministère de la Justice et des Droits de l'Homme</w:t>
            </w:r>
          </w:p>
        </w:tc>
        <w:tc>
          <w:tcPr>
            <w:tcW w:w="1677" w:type="dxa"/>
            <w:tcBorders>
              <w:top w:val="nil"/>
              <w:left w:val="nil"/>
              <w:bottom w:val="single" w:sz="4" w:space="0" w:color="auto"/>
              <w:right w:val="single" w:sz="4" w:space="0" w:color="auto"/>
            </w:tcBorders>
            <w:shd w:val="clear" w:color="auto" w:fill="auto"/>
            <w:noWrap/>
            <w:vAlign w:val="center"/>
            <w:hideMark/>
          </w:tcPr>
          <w:p w14:paraId="6FE3AAB0"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46 424 949 343    </w:t>
            </w:r>
          </w:p>
        </w:tc>
        <w:tc>
          <w:tcPr>
            <w:tcW w:w="1677" w:type="dxa"/>
            <w:tcBorders>
              <w:top w:val="nil"/>
              <w:left w:val="nil"/>
              <w:bottom w:val="single" w:sz="4" w:space="0" w:color="auto"/>
              <w:right w:val="nil"/>
            </w:tcBorders>
            <w:shd w:val="clear" w:color="auto" w:fill="auto"/>
            <w:noWrap/>
            <w:vAlign w:val="center"/>
            <w:hideMark/>
          </w:tcPr>
          <w:p w14:paraId="0C180213"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32 953 580 875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014482E"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71,0%</w:t>
            </w:r>
          </w:p>
        </w:tc>
      </w:tr>
      <w:tr w:rsidR="00632215" w:rsidRPr="003D0996" w14:paraId="36EAEFE3" w14:textId="77777777" w:rsidTr="00326A6C">
        <w:trPr>
          <w:trHeight w:val="10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BAE5969"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7</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5AA8E86F"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des Affaires Étrangères, de l'Intégration Africaine et des Guinéens établis a l'Étranger</w:t>
            </w:r>
          </w:p>
        </w:tc>
        <w:tc>
          <w:tcPr>
            <w:tcW w:w="1677" w:type="dxa"/>
            <w:tcBorders>
              <w:top w:val="nil"/>
              <w:left w:val="nil"/>
              <w:bottom w:val="single" w:sz="4" w:space="0" w:color="auto"/>
              <w:right w:val="single" w:sz="4" w:space="0" w:color="auto"/>
            </w:tcBorders>
            <w:shd w:val="clear" w:color="auto" w:fill="auto"/>
            <w:noWrap/>
            <w:vAlign w:val="center"/>
            <w:hideMark/>
          </w:tcPr>
          <w:p w14:paraId="1CE9DB9E"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74 909 140 000    </w:t>
            </w:r>
          </w:p>
        </w:tc>
        <w:tc>
          <w:tcPr>
            <w:tcW w:w="1677" w:type="dxa"/>
            <w:tcBorders>
              <w:top w:val="nil"/>
              <w:left w:val="nil"/>
              <w:bottom w:val="single" w:sz="4" w:space="0" w:color="auto"/>
              <w:right w:val="nil"/>
            </w:tcBorders>
            <w:shd w:val="clear" w:color="auto" w:fill="auto"/>
            <w:noWrap/>
            <w:vAlign w:val="center"/>
            <w:hideMark/>
          </w:tcPr>
          <w:p w14:paraId="529B0873"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66 620 076 883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0A00BA1"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88,9%</w:t>
            </w:r>
          </w:p>
        </w:tc>
      </w:tr>
      <w:tr w:rsidR="00632215" w:rsidRPr="003D0996" w14:paraId="5B135E43" w14:textId="77777777" w:rsidTr="00326A6C">
        <w:trPr>
          <w:trHeight w:val="278"/>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6E01AD7B"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8</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5169359A"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du Plan et de la Coopération Internationale</w:t>
            </w:r>
          </w:p>
        </w:tc>
        <w:tc>
          <w:tcPr>
            <w:tcW w:w="1677" w:type="dxa"/>
            <w:tcBorders>
              <w:top w:val="nil"/>
              <w:left w:val="nil"/>
              <w:bottom w:val="single" w:sz="4" w:space="0" w:color="auto"/>
              <w:right w:val="single" w:sz="4" w:space="0" w:color="auto"/>
            </w:tcBorders>
            <w:shd w:val="clear" w:color="auto" w:fill="auto"/>
            <w:noWrap/>
            <w:vAlign w:val="center"/>
            <w:hideMark/>
          </w:tcPr>
          <w:p w14:paraId="4C3A40C4"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67 597 683 234    </w:t>
            </w:r>
          </w:p>
        </w:tc>
        <w:tc>
          <w:tcPr>
            <w:tcW w:w="1677" w:type="dxa"/>
            <w:tcBorders>
              <w:top w:val="nil"/>
              <w:left w:val="nil"/>
              <w:bottom w:val="single" w:sz="4" w:space="0" w:color="auto"/>
              <w:right w:val="nil"/>
            </w:tcBorders>
            <w:shd w:val="clear" w:color="auto" w:fill="auto"/>
            <w:noWrap/>
            <w:vAlign w:val="center"/>
            <w:hideMark/>
          </w:tcPr>
          <w:p w14:paraId="71D387A7"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63 642 615 392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5B07F373"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94,1%</w:t>
            </w:r>
          </w:p>
        </w:tc>
      </w:tr>
      <w:tr w:rsidR="00632215" w:rsidRPr="003D0996" w14:paraId="65D5F712" w14:textId="77777777" w:rsidTr="00326A6C">
        <w:trPr>
          <w:trHeight w:val="101"/>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1114283A"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9</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4D580486"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l'Économie et des Finances</w:t>
            </w:r>
          </w:p>
        </w:tc>
        <w:tc>
          <w:tcPr>
            <w:tcW w:w="1677" w:type="dxa"/>
            <w:tcBorders>
              <w:top w:val="nil"/>
              <w:left w:val="nil"/>
              <w:bottom w:val="single" w:sz="4" w:space="0" w:color="auto"/>
              <w:right w:val="single" w:sz="4" w:space="0" w:color="auto"/>
            </w:tcBorders>
            <w:shd w:val="clear" w:color="auto" w:fill="auto"/>
            <w:noWrap/>
            <w:vAlign w:val="center"/>
            <w:hideMark/>
          </w:tcPr>
          <w:p w14:paraId="44B25F26"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120 927 418 960    </w:t>
            </w:r>
          </w:p>
        </w:tc>
        <w:tc>
          <w:tcPr>
            <w:tcW w:w="1677" w:type="dxa"/>
            <w:tcBorders>
              <w:top w:val="nil"/>
              <w:left w:val="nil"/>
              <w:bottom w:val="single" w:sz="4" w:space="0" w:color="auto"/>
              <w:right w:val="nil"/>
            </w:tcBorders>
            <w:shd w:val="clear" w:color="auto" w:fill="auto"/>
            <w:noWrap/>
            <w:vAlign w:val="center"/>
            <w:hideMark/>
          </w:tcPr>
          <w:p w14:paraId="09F8FFD0"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112 814 841 668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307A7B39"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93,3%</w:t>
            </w:r>
          </w:p>
        </w:tc>
      </w:tr>
      <w:tr w:rsidR="00632215" w:rsidRPr="003D0996" w14:paraId="128B763A" w14:textId="77777777" w:rsidTr="00326A6C">
        <w:trPr>
          <w:trHeight w:val="5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64AC"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10</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1357"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du Travail et de la Fonction Publique</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F048"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72 463 136 083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E7C6"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47 179 686 485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38D2B"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65,1%</w:t>
            </w:r>
          </w:p>
        </w:tc>
      </w:tr>
      <w:tr w:rsidR="00632215" w:rsidRPr="003D0996" w14:paraId="56FD1A4B"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0B434D1D"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11</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144C"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l'Agriculture et de l'Élevage</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75017B60"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177 653 001 883    </w:t>
            </w:r>
          </w:p>
        </w:tc>
        <w:tc>
          <w:tcPr>
            <w:tcW w:w="1677" w:type="dxa"/>
            <w:tcBorders>
              <w:top w:val="single" w:sz="4" w:space="0" w:color="auto"/>
              <w:left w:val="nil"/>
              <w:bottom w:val="single" w:sz="4" w:space="0" w:color="auto"/>
              <w:right w:val="nil"/>
            </w:tcBorders>
            <w:shd w:val="clear" w:color="auto" w:fill="auto"/>
            <w:noWrap/>
            <w:vAlign w:val="center"/>
            <w:hideMark/>
          </w:tcPr>
          <w:p w14:paraId="54E714EC"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88 810 527 195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9619"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50,0%</w:t>
            </w:r>
          </w:p>
        </w:tc>
      </w:tr>
      <w:tr w:rsidR="00632215" w:rsidRPr="003D0996" w14:paraId="686BCC3E" w14:textId="77777777" w:rsidTr="00326A6C">
        <w:trPr>
          <w:trHeight w:val="5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8796"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12</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6541"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Pêche et de l'Économie Maritime</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2755"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90 861 359 464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2D4FA"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51 483 399 308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4047"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56,7%</w:t>
            </w:r>
          </w:p>
        </w:tc>
      </w:tr>
      <w:tr w:rsidR="00632215" w:rsidRPr="003D0996" w14:paraId="5AA3894C" w14:textId="77777777" w:rsidTr="00326A6C">
        <w:trPr>
          <w:trHeight w:val="214"/>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0A874875"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13</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737E"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des Mines et de la Géologie</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50A26B16"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331 483 382 024    </w:t>
            </w:r>
          </w:p>
        </w:tc>
        <w:tc>
          <w:tcPr>
            <w:tcW w:w="1677" w:type="dxa"/>
            <w:tcBorders>
              <w:top w:val="single" w:sz="4" w:space="0" w:color="auto"/>
              <w:left w:val="nil"/>
              <w:bottom w:val="single" w:sz="4" w:space="0" w:color="auto"/>
              <w:right w:val="nil"/>
            </w:tcBorders>
            <w:shd w:val="clear" w:color="auto" w:fill="auto"/>
            <w:noWrap/>
            <w:vAlign w:val="center"/>
            <w:hideMark/>
          </w:tcPr>
          <w:p w14:paraId="01F2FB5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68 434 221 133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0387A"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20,6%</w:t>
            </w:r>
          </w:p>
        </w:tc>
      </w:tr>
      <w:tr w:rsidR="00632215" w:rsidRPr="003D0996" w14:paraId="6D5A21BA" w14:textId="77777777" w:rsidTr="00326A6C">
        <w:trPr>
          <w:trHeight w:val="260"/>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ED70572" w14:textId="77777777" w:rsidR="00632215" w:rsidRPr="003D0996" w:rsidRDefault="00632215" w:rsidP="00632215">
            <w:pPr>
              <w:jc w:val="center"/>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14</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29F8C247"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des Infrastructures et des Travaux Publics</w:t>
            </w:r>
          </w:p>
        </w:tc>
        <w:tc>
          <w:tcPr>
            <w:tcW w:w="1677" w:type="dxa"/>
            <w:tcBorders>
              <w:top w:val="nil"/>
              <w:left w:val="nil"/>
              <w:bottom w:val="single" w:sz="4" w:space="0" w:color="auto"/>
              <w:right w:val="single" w:sz="4" w:space="0" w:color="auto"/>
            </w:tcBorders>
            <w:shd w:val="clear" w:color="auto" w:fill="auto"/>
            <w:noWrap/>
            <w:vAlign w:val="center"/>
            <w:hideMark/>
          </w:tcPr>
          <w:p w14:paraId="4741EBCB"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1 441 536 368 790    </w:t>
            </w:r>
          </w:p>
        </w:tc>
        <w:tc>
          <w:tcPr>
            <w:tcW w:w="1677" w:type="dxa"/>
            <w:tcBorders>
              <w:top w:val="nil"/>
              <w:left w:val="nil"/>
              <w:bottom w:val="single" w:sz="4" w:space="0" w:color="auto"/>
              <w:right w:val="nil"/>
            </w:tcBorders>
            <w:shd w:val="clear" w:color="auto" w:fill="auto"/>
            <w:noWrap/>
            <w:vAlign w:val="center"/>
            <w:hideMark/>
          </w:tcPr>
          <w:p w14:paraId="46FFA7F5"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1 210 936 577 928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58DB3A58" w14:textId="77777777" w:rsidR="00632215" w:rsidRPr="003D0996" w:rsidRDefault="00632215" w:rsidP="00632215">
            <w:pPr>
              <w:jc w:val="cente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84,0%</w:t>
            </w:r>
          </w:p>
        </w:tc>
      </w:tr>
      <w:tr w:rsidR="00632215" w:rsidRPr="003D0996" w14:paraId="78CB2A1B" w14:textId="77777777" w:rsidTr="00F91C48">
        <w:trPr>
          <w:trHeight w:val="54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BBA8"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15</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7E2D8"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l'Urbanisme, de l'Habitat et de l'Aménagement du Territoire charge de la récupération des domaines spolies de l'État</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1E89"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235 136 425 014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E2BBC"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196 823 927 782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AD75"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83,7%</w:t>
            </w:r>
          </w:p>
        </w:tc>
      </w:tr>
      <w:tr w:rsidR="00632215" w:rsidRPr="003D0996" w14:paraId="77F6B050" w14:textId="77777777" w:rsidTr="00326A6C">
        <w:trPr>
          <w:trHeight w:val="5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4E63"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16</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FA1E"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du Commerce, de l'Industrie et des Petites et Moyennes Entreprises</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A15B0"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59 161 390 000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AAAC"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47 529 505 731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68FF"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80,3%</w:t>
            </w:r>
          </w:p>
        </w:tc>
      </w:tr>
      <w:tr w:rsidR="00632215" w:rsidRPr="003D0996" w14:paraId="7C02A81B" w14:textId="77777777" w:rsidTr="00F91C48">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DD6D74F"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17</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E16B"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Sante et de l'Hygiène Publique</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43EA990B"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465 698 001 467    </w:t>
            </w:r>
          </w:p>
        </w:tc>
        <w:tc>
          <w:tcPr>
            <w:tcW w:w="1677" w:type="dxa"/>
            <w:tcBorders>
              <w:top w:val="single" w:sz="4" w:space="0" w:color="auto"/>
              <w:left w:val="nil"/>
              <w:bottom w:val="single" w:sz="4" w:space="0" w:color="auto"/>
              <w:right w:val="nil"/>
            </w:tcBorders>
            <w:shd w:val="clear" w:color="auto" w:fill="auto"/>
            <w:noWrap/>
            <w:vAlign w:val="center"/>
            <w:hideMark/>
          </w:tcPr>
          <w:p w14:paraId="19FE064D"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311 472 178 958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8081"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66,9%</w:t>
            </w:r>
          </w:p>
        </w:tc>
      </w:tr>
      <w:tr w:rsidR="00632215" w:rsidRPr="003D0996" w14:paraId="67ABF8F8" w14:textId="77777777" w:rsidTr="00F91C48">
        <w:trPr>
          <w:trHeight w:val="5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0C72"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18</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35FA"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Promotion Féminine, de l'Enfance et des Personnes Vulnérables</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7304"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91 301 124 885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226F7"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30 465 911 842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8249"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33,4%</w:t>
            </w:r>
          </w:p>
        </w:tc>
      </w:tr>
      <w:tr w:rsidR="00632215" w:rsidRPr="003D0996" w14:paraId="0EA41DC1" w14:textId="77777777" w:rsidTr="00F91C48">
        <w:trPr>
          <w:trHeight w:val="147"/>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B7B22C0"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19</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05BA"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l'Enseignement Pré-Universitaire et de l'Alphabétisation</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32759294"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112 487 650 000    </w:t>
            </w:r>
          </w:p>
        </w:tc>
        <w:tc>
          <w:tcPr>
            <w:tcW w:w="1677" w:type="dxa"/>
            <w:tcBorders>
              <w:top w:val="single" w:sz="4" w:space="0" w:color="auto"/>
              <w:left w:val="nil"/>
              <w:bottom w:val="single" w:sz="4" w:space="0" w:color="auto"/>
              <w:right w:val="nil"/>
            </w:tcBorders>
            <w:shd w:val="clear" w:color="auto" w:fill="auto"/>
            <w:noWrap/>
            <w:vAlign w:val="center"/>
            <w:hideMark/>
          </w:tcPr>
          <w:p w14:paraId="638501B8"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100 325 245 396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D467"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89,2%</w:t>
            </w:r>
          </w:p>
        </w:tc>
      </w:tr>
      <w:tr w:rsidR="00632215" w:rsidRPr="003D0996" w14:paraId="1A2E70CB"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91640A4"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20</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75BABC83"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l'Enseignement Technique, de la Formation Professionnelle et de l'Emploi</w:t>
            </w:r>
          </w:p>
        </w:tc>
        <w:tc>
          <w:tcPr>
            <w:tcW w:w="1677" w:type="dxa"/>
            <w:tcBorders>
              <w:top w:val="nil"/>
              <w:left w:val="nil"/>
              <w:bottom w:val="single" w:sz="4" w:space="0" w:color="auto"/>
              <w:right w:val="single" w:sz="4" w:space="0" w:color="auto"/>
            </w:tcBorders>
            <w:shd w:val="clear" w:color="auto" w:fill="auto"/>
            <w:noWrap/>
            <w:vAlign w:val="center"/>
            <w:hideMark/>
          </w:tcPr>
          <w:p w14:paraId="17DEE986"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67 671 104 459    </w:t>
            </w:r>
          </w:p>
        </w:tc>
        <w:tc>
          <w:tcPr>
            <w:tcW w:w="1677" w:type="dxa"/>
            <w:tcBorders>
              <w:top w:val="nil"/>
              <w:left w:val="nil"/>
              <w:bottom w:val="single" w:sz="4" w:space="0" w:color="auto"/>
              <w:right w:val="nil"/>
            </w:tcBorders>
            <w:shd w:val="clear" w:color="auto" w:fill="auto"/>
            <w:noWrap/>
            <w:vAlign w:val="center"/>
            <w:hideMark/>
          </w:tcPr>
          <w:p w14:paraId="5DB17DF0"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51 363 734 910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D394C3B"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75,9%</w:t>
            </w:r>
          </w:p>
        </w:tc>
      </w:tr>
      <w:tr w:rsidR="00632215" w:rsidRPr="003D0996" w14:paraId="31C27CA3" w14:textId="77777777" w:rsidTr="00F91C48">
        <w:trPr>
          <w:trHeight w:val="42"/>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02A9CAE1"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21</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46D8D6E1"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l'Information et de la Communication</w:t>
            </w:r>
          </w:p>
        </w:tc>
        <w:tc>
          <w:tcPr>
            <w:tcW w:w="1677" w:type="dxa"/>
            <w:tcBorders>
              <w:top w:val="nil"/>
              <w:left w:val="nil"/>
              <w:bottom w:val="single" w:sz="4" w:space="0" w:color="auto"/>
              <w:right w:val="single" w:sz="4" w:space="0" w:color="auto"/>
            </w:tcBorders>
            <w:shd w:val="clear" w:color="auto" w:fill="auto"/>
            <w:noWrap/>
            <w:vAlign w:val="center"/>
            <w:hideMark/>
          </w:tcPr>
          <w:p w14:paraId="07B857FA"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72 287 710 057    </w:t>
            </w:r>
          </w:p>
        </w:tc>
        <w:tc>
          <w:tcPr>
            <w:tcW w:w="1677" w:type="dxa"/>
            <w:tcBorders>
              <w:top w:val="nil"/>
              <w:left w:val="nil"/>
              <w:bottom w:val="single" w:sz="4" w:space="0" w:color="auto"/>
              <w:right w:val="nil"/>
            </w:tcBorders>
            <w:shd w:val="clear" w:color="auto" w:fill="auto"/>
            <w:noWrap/>
            <w:vAlign w:val="center"/>
            <w:hideMark/>
          </w:tcPr>
          <w:p w14:paraId="4613BAF5"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40 382 510 124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DF81820"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55,9%</w:t>
            </w:r>
          </w:p>
        </w:tc>
      </w:tr>
      <w:tr w:rsidR="00632215" w:rsidRPr="003D0996" w14:paraId="20B05C08" w14:textId="77777777" w:rsidTr="00326A6C">
        <w:trPr>
          <w:trHeight w:val="9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43A2E"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lastRenderedPageBreak/>
              <w:t>22</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BCB2"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Jeunesse et des Sports</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BC52B"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528 810 597 859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C78E"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350 599 298 641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70A0"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66,3%</w:t>
            </w:r>
          </w:p>
        </w:tc>
      </w:tr>
      <w:tr w:rsidR="00632215" w:rsidRPr="003D0996" w14:paraId="6B1F5540"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8C75156"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23</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0D17"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Conseil National de la Transition</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5B6ACB59"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15 000 000 000    </w:t>
            </w:r>
          </w:p>
        </w:tc>
        <w:tc>
          <w:tcPr>
            <w:tcW w:w="1677" w:type="dxa"/>
            <w:tcBorders>
              <w:top w:val="single" w:sz="4" w:space="0" w:color="auto"/>
              <w:left w:val="nil"/>
              <w:bottom w:val="single" w:sz="4" w:space="0" w:color="auto"/>
              <w:right w:val="nil"/>
            </w:tcBorders>
            <w:shd w:val="clear" w:color="auto" w:fill="auto"/>
            <w:noWrap/>
            <w:vAlign w:val="center"/>
            <w:hideMark/>
          </w:tcPr>
          <w:p w14:paraId="2B0804AE"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7 576 860 291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84300"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50,5%</w:t>
            </w:r>
          </w:p>
        </w:tc>
      </w:tr>
      <w:tr w:rsidR="00632215" w:rsidRPr="003D0996" w14:paraId="25AC6296"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C167B00"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24</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7579877D" w14:textId="71C8B6B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Cour </w:t>
            </w:r>
            <w:r w:rsidR="009706EA" w:rsidRPr="003D0996">
              <w:rPr>
                <w:rFonts w:ascii="Times New Roman" w:eastAsia="Times New Roman" w:hAnsi="Times New Roman" w:cs="Times New Roman"/>
                <w:color w:val="000000" w:themeColor="text1"/>
                <w:sz w:val="20"/>
                <w:szCs w:val="20"/>
              </w:rPr>
              <w:t>Suprême</w:t>
            </w:r>
          </w:p>
        </w:tc>
        <w:tc>
          <w:tcPr>
            <w:tcW w:w="1677" w:type="dxa"/>
            <w:tcBorders>
              <w:top w:val="nil"/>
              <w:left w:val="nil"/>
              <w:bottom w:val="single" w:sz="4" w:space="0" w:color="auto"/>
              <w:right w:val="single" w:sz="4" w:space="0" w:color="auto"/>
            </w:tcBorders>
            <w:shd w:val="clear" w:color="auto" w:fill="auto"/>
            <w:noWrap/>
            <w:vAlign w:val="center"/>
            <w:hideMark/>
          </w:tcPr>
          <w:p w14:paraId="524FB41B"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7 500 000 000    </w:t>
            </w:r>
          </w:p>
        </w:tc>
        <w:tc>
          <w:tcPr>
            <w:tcW w:w="1677" w:type="dxa"/>
            <w:tcBorders>
              <w:top w:val="nil"/>
              <w:left w:val="nil"/>
              <w:bottom w:val="single" w:sz="4" w:space="0" w:color="auto"/>
              <w:right w:val="nil"/>
            </w:tcBorders>
            <w:shd w:val="clear" w:color="auto" w:fill="auto"/>
            <w:noWrap/>
            <w:vAlign w:val="center"/>
            <w:hideMark/>
          </w:tcPr>
          <w:p w14:paraId="56BD46A6" w14:textId="2761CD95" w:rsidR="00632215" w:rsidRPr="003D0996" w:rsidRDefault="00632215" w:rsidP="00326A6C">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7 499 674 732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364C3C27"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100%</w:t>
            </w:r>
          </w:p>
        </w:tc>
      </w:tr>
      <w:tr w:rsidR="00632215" w:rsidRPr="003D0996" w14:paraId="176C3DEA"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614ED3BB"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25</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281D9277"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Haute Autorité de la Communication</w:t>
            </w:r>
          </w:p>
        </w:tc>
        <w:tc>
          <w:tcPr>
            <w:tcW w:w="1677" w:type="dxa"/>
            <w:tcBorders>
              <w:top w:val="nil"/>
              <w:left w:val="nil"/>
              <w:bottom w:val="single" w:sz="4" w:space="0" w:color="auto"/>
              <w:right w:val="single" w:sz="4" w:space="0" w:color="auto"/>
            </w:tcBorders>
            <w:shd w:val="clear" w:color="auto" w:fill="auto"/>
            <w:noWrap/>
            <w:vAlign w:val="center"/>
            <w:hideMark/>
          </w:tcPr>
          <w:p w14:paraId="1188976E"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3 606 750 000    </w:t>
            </w:r>
          </w:p>
        </w:tc>
        <w:tc>
          <w:tcPr>
            <w:tcW w:w="1677" w:type="dxa"/>
            <w:tcBorders>
              <w:top w:val="nil"/>
              <w:left w:val="nil"/>
              <w:bottom w:val="single" w:sz="4" w:space="0" w:color="auto"/>
              <w:right w:val="nil"/>
            </w:tcBorders>
            <w:shd w:val="clear" w:color="auto" w:fill="auto"/>
            <w:noWrap/>
            <w:vAlign w:val="center"/>
            <w:hideMark/>
          </w:tcPr>
          <w:p w14:paraId="40261347"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2 248 804 000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0FBE6D1A"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62,3%</w:t>
            </w:r>
          </w:p>
        </w:tc>
      </w:tr>
      <w:tr w:rsidR="00632215" w:rsidRPr="003D0996" w14:paraId="4A87C101"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E8FE7B7"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26</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61B929AD"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Secrétariat General du Gouvernement</w:t>
            </w:r>
          </w:p>
        </w:tc>
        <w:tc>
          <w:tcPr>
            <w:tcW w:w="1677" w:type="dxa"/>
            <w:tcBorders>
              <w:top w:val="nil"/>
              <w:left w:val="nil"/>
              <w:bottom w:val="single" w:sz="4" w:space="0" w:color="auto"/>
              <w:right w:val="single" w:sz="4" w:space="0" w:color="auto"/>
            </w:tcBorders>
            <w:shd w:val="clear" w:color="auto" w:fill="auto"/>
            <w:noWrap/>
            <w:vAlign w:val="center"/>
            <w:hideMark/>
          </w:tcPr>
          <w:p w14:paraId="1780B5A8"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5 000 000 000    </w:t>
            </w:r>
          </w:p>
        </w:tc>
        <w:tc>
          <w:tcPr>
            <w:tcW w:w="1677" w:type="dxa"/>
            <w:tcBorders>
              <w:top w:val="nil"/>
              <w:left w:val="nil"/>
              <w:bottom w:val="single" w:sz="4" w:space="0" w:color="auto"/>
              <w:right w:val="nil"/>
            </w:tcBorders>
            <w:shd w:val="clear" w:color="auto" w:fill="auto"/>
            <w:noWrap/>
            <w:vAlign w:val="center"/>
            <w:hideMark/>
          </w:tcPr>
          <w:p w14:paraId="3FC59F69"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B814D86"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0,0%</w:t>
            </w:r>
          </w:p>
        </w:tc>
      </w:tr>
      <w:tr w:rsidR="00632215" w:rsidRPr="003D0996" w14:paraId="03A3E4D9"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55042D76"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27</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1C50E980"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Secrétariat General aux Affaires Religieuses</w:t>
            </w:r>
          </w:p>
        </w:tc>
        <w:tc>
          <w:tcPr>
            <w:tcW w:w="1677" w:type="dxa"/>
            <w:tcBorders>
              <w:top w:val="nil"/>
              <w:left w:val="nil"/>
              <w:bottom w:val="single" w:sz="4" w:space="0" w:color="auto"/>
              <w:right w:val="single" w:sz="4" w:space="0" w:color="auto"/>
            </w:tcBorders>
            <w:shd w:val="clear" w:color="auto" w:fill="auto"/>
            <w:noWrap/>
            <w:vAlign w:val="center"/>
            <w:hideMark/>
          </w:tcPr>
          <w:p w14:paraId="671AA0F9"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30 317 510 000    </w:t>
            </w:r>
          </w:p>
        </w:tc>
        <w:tc>
          <w:tcPr>
            <w:tcW w:w="1677" w:type="dxa"/>
            <w:tcBorders>
              <w:top w:val="nil"/>
              <w:left w:val="nil"/>
              <w:bottom w:val="single" w:sz="4" w:space="0" w:color="auto"/>
              <w:right w:val="nil"/>
            </w:tcBorders>
            <w:shd w:val="clear" w:color="auto" w:fill="auto"/>
            <w:noWrap/>
            <w:vAlign w:val="center"/>
            <w:hideMark/>
          </w:tcPr>
          <w:p w14:paraId="039E699F"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18 037 076 100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6F46A138"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59,5%</w:t>
            </w:r>
          </w:p>
        </w:tc>
      </w:tr>
      <w:tr w:rsidR="00632215" w:rsidRPr="003D0996" w14:paraId="5BC9189E" w14:textId="77777777" w:rsidTr="00326A6C">
        <w:trPr>
          <w:trHeight w:val="217"/>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18F03EB"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28</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269612DC"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l'Environnement et du Développement Durable</w:t>
            </w:r>
          </w:p>
        </w:tc>
        <w:tc>
          <w:tcPr>
            <w:tcW w:w="1677" w:type="dxa"/>
            <w:tcBorders>
              <w:top w:val="nil"/>
              <w:left w:val="nil"/>
              <w:bottom w:val="single" w:sz="4" w:space="0" w:color="auto"/>
              <w:right w:val="single" w:sz="4" w:space="0" w:color="auto"/>
            </w:tcBorders>
            <w:shd w:val="clear" w:color="auto" w:fill="auto"/>
            <w:noWrap/>
            <w:vAlign w:val="center"/>
            <w:hideMark/>
          </w:tcPr>
          <w:p w14:paraId="665E3625"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49 520 256 175    </w:t>
            </w:r>
          </w:p>
        </w:tc>
        <w:tc>
          <w:tcPr>
            <w:tcW w:w="1677" w:type="dxa"/>
            <w:tcBorders>
              <w:top w:val="nil"/>
              <w:left w:val="nil"/>
              <w:bottom w:val="single" w:sz="4" w:space="0" w:color="auto"/>
              <w:right w:val="nil"/>
            </w:tcBorders>
            <w:shd w:val="clear" w:color="auto" w:fill="auto"/>
            <w:noWrap/>
            <w:vAlign w:val="center"/>
            <w:hideMark/>
          </w:tcPr>
          <w:p w14:paraId="47501A6F"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24 787 168 999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6712EADD"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50,1%</w:t>
            </w:r>
          </w:p>
        </w:tc>
      </w:tr>
      <w:tr w:rsidR="00632215" w:rsidRPr="003D0996" w14:paraId="0E4AF43D"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CC25AA9"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29</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571CE97F"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des Transports</w:t>
            </w:r>
          </w:p>
        </w:tc>
        <w:tc>
          <w:tcPr>
            <w:tcW w:w="1677" w:type="dxa"/>
            <w:tcBorders>
              <w:top w:val="nil"/>
              <w:left w:val="nil"/>
              <w:bottom w:val="single" w:sz="4" w:space="0" w:color="auto"/>
              <w:right w:val="single" w:sz="4" w:space="0" w:color="auto"/>
            </w:tcBorders>
            <w:shd w:val="clear" w:color="auto" w:fill="auto"/>
            <w:noWrap/>
            <w:vAlign w:val="center"/>
            <w:hideMark/>
          </w:tcPr>
          <w:p w14:paraId="0B36A0C1"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17 500 000 000    </w:t>
            </w:r>
          </w:p>
        </w:tc>
        <w:tc>
          <w:tcPr>
            <w:tcW w:w="1677" w:type="dxa"/>
            <w:tcBorders>
              <w:top w:val="nil"/>
              <w:left w:val="nil"/>
              <w:bottom w:val="single" w:sz="4" w:space="0" w:color="auto"/>
              <w:right w:val="nil"/>
            </w:tcBorders>
            <w:shd w:val="clear" w:color="auto" w:fill="auto"/>
            <w:noWrap/>
            <w:vAlign w:val="center"/>
            <w:hideMark/>
          </w:tcPr>
          <w:p w14:paraId="49C1CA01"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1 837 439 360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A6F638D"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10,5%</w:t>
            </w:r>
          </w:p>
        </w:tc>
      </w:tr>
      <w:tr w:rsidR="00632215" w:rsidRPr="003D0996" w14:paraId="701410C4" w14:textId="77777777" w:rsidTr="00326A6C">
        <w:trPr>
          <w:trHeight w:val="212"/>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6C887DBB"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30</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4B4C6A44"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l'Enseignement Supérieur, de la Recherche Scientifique et de l'Innovation</w:t>
            </w:r>
          </w:p>
        </w:tc>
        <w:tc>
          <w:tcPr>
            <w:tcW w:w="1677" w:type="dxa"/>
            <w:tcBorders>
              <w:top w:val="nil"/>
              <w:left w:val="nil"/>
              <w:bottom w:val="single" w:sz="4" w:space="0" w:color="auto"/>
              <w:right w:val="single" w:sz="4" w:space="0" w:color="auto"/>
            </w:tcBorders>
            <w:shd w:val="clear" w:color="auto" w:fill="auto"/>
            <w:noWrap/>
            <w:vAlign w:val="center"/>
            <w:hideMark/>
          </w:tcPr>
          <w:p w14:paraId="4D958BF1"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222 888 159 407    </w:t>
            </w:r>
          </w:p>
        </w:tc>
        <w:tc>
          <w:tcPr>
            <w:tcW w:w="1677" w:type="dxa"/>
            <w:tcBorders>
              <w:top w:val="nil"/>
              <w:left w:val="nil"/>
              <w:bottom w:val="single" w:sz="4" w:space="0" w:color="auto"/>
              <w:right w:val="nil"/>
            </w:tcBorders>
            <w:shd w:val="clear" w:color="auto" w:fill="auto"/>
            <w:noWrap/>
            <w:vAlign w:val="center"/>
            <w:hideMark/>
          </w:tcPr>
          <w:p w14:paraId="7D268333"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183 923 822 554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498435E3"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82,5%</w:t>
            </w:r>
          </w:p>
        </w:tc>
      </w:tr>
      <w:tr w:rsidR="00632215" w:rsidRPr="003D0996" w14:paraId="1EBF150D" w14:textId="77777777" w:rsidTr="00326A6C">
        <w:trPr>
          <w:trHeight w:val="5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41E19"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31</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7855"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Administration et Contrôle des Grands Projets</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C00CA"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171 314 504 295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709CC"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26 380 109 553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8FDF"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15,4%</w:t>
            </w:r>
          </w:p>
        </w:tc>
      </w:tr>
      <w:tr w:rsidR="00632215" w:rsidRPr="003D0996" w14:paraId="2A1F29E3"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239743F1"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32</w:t>
            </w: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36D2"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l’Energie, de l’Hydraulique ct des I hydrocarbures</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58421CAC"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230 141 210 000    </w:t>
            </w:r>
          </w:p>
        </w:tc>
        <w:tc>
          <w:tcPr>
            <w:tcW w:w="1677" w:type="dxa"/>
            <w:tcBorders>
              <w:top w:val="single" w:sz="4" w:space="0" w:color="auto"/>
              <w:left w:val="nil"/>
              <w:bottom w:val="single" w:sz="4" w:space="0" w:color="auto"/>
              <w:right w:val="nil"/>
            </w:tcBorders>
            <w:shd w:val="clear" w:color="auto" w:fill="auto"/>
            <w:noWrap/>
            <w:vAlign w:val="center"/>
            <w:hideMark/>
          </w:tcPr>
          <w:p w14:paraId="7B52D6CF"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201 401 927 163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CBB8"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87,5%</w:t>
            </w:r>
          </w:p>
        </w:tc>
      </w:tr>
      <w:tr w:rsidR="00632215" w:rsidRPr="003D0996" w14:paraId="385578A1" w14:textId="77777777" w:rsidTr="00F91C48">
        <w:trPr>
          <w:trHeight w:val="42"/>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0896AD5B"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33</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17851EE7"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des Postes, des Télécommunications et de l'Économie Numériques</w:t>
            </w:r>
          </w:p>
        </w:tc>
        <w:tc>
          <w:tcPr>
            <w:tcW w:w="1677" w:type="dxa"/>
            <w:tcBorders>
              <w:top w:val="nil"/>
              <w:left w:val="nil"/>
              <w:bottom w:val="single" w:sz="4" w:space="0" w:color="auto"/>
              <w:right w:val="single" w:sz="4" w:space="0" w:color="auto"/>
            </w:tcBorders>
            <w:shd w:val="clear" w:color="auto" w:fill="auto"/>
            <w:noWrap/>
            <w:vAlign w:val="center"/>
            <w:hideMark/>
          </w:tcPr>
          <w:p w14:paraId="68FF4926"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146 967 892 367    </w:t>
            </w:r>
          </w:p>
        </w:tc>
        <w:tc>
          <w:tcPr>
            <w:tcW w:w="1677" w:type="dxa"/>
            <w:tcBorders>
              <w:top w:val="nil"/>
              <w:left w:val="nil"/>
              <w:bottom w:val="single" w:sz="4" w:space="0" w:color="auto"/>
              <w:right w:val="nil"/>
            </w:tcBorders>
            <w:shd w:val="clear" w:color="auto" w:fill="auto"/>
            <w:noWrap/>
            <w:vAlign w:val="center"/>
            <w:hideMark/>
          </w:tcPr>
          <w:p w14:paraId="24A630B7"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60 254 143 644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6A7A444"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41,0%</w:t>
            </w:r>
          </w:p>
        </w:tc>
      </w:tr>
      <w:tr w:rsidR="00632215" w:rsidRPr="003D0996" w14:paraId="1836858A" w14:textId="77777777" w:rsidTr="00326A6C">
        <w:trPr>
          <w:trHeight w:val="73"/>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42018D9B"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34</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50A25A56"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de la Culture, du Tourisme et de l'Artisanat</w:t>
            </w:r>
          </w:p>
        </w:tc>
        <w:tc>
          <w:tcPr>
            <w:tcW w:w="1677" w:type="dxa"/>
            <w:tcBorders>
              <w:top w:val="nil"/>
              <w:left w:val="nil"/>
              <w:bottom w:val="single" w:sz="4" w:space="0" w:color="auto"/>
              <w:right w:val="single" w:sz="4" w:space="0" w:color="auto"/>
            </w:tcBorders>
            <w:shd w:val="clear" w:color="auto" w:fill="auto"/>
            <w:noWrap/>
            <w:vAlign w:val="center"/>
            <w:hideMark/>
          </w:tcPr>
          <w:p w14:paraId="7F7065B6"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66 853 317 794    </w:t>
            </w:r>
          </w:p>
        </w:tc>
        <w:tc>
          <w:tcPr>
            <w:tcW w:w="1677" w:type="dxa"/>
            <w:tcBorders>
              <w:top w:val="nil"/>
              <w:left w:val="nil"/>
              <w:bottom w:val="single" w:sz="4" w:space="0" w:color="auto"/>
              <w:right w:val="nil"/>
            </w:tcBorders>
            <w:shd w:val="clear" w:color="auto" w:fill="auto"/>
            <w:noWrap/>
            <w:vAlign w:val="center"/>
            <w:hideMark/>
          </w:tcPr>
          <w:p w14:paraId="15FAFA78"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56 711 259 715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5867911A"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84,8%</w:t>
            </w:r>
          </w:p>
        </w:tc>
      </w:tr>
      <w:tr w:rsidR="00632215" w:rsidRPr="003D0996" w14:paraId="3BF57FD5" w14:textId="77777777" w:rsidTr="00326A6C">
        <w:trPr>
          <w:trHeight w:val="320"/>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7EADB29B"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35</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68A9DC57"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Secrétariat General à la Présidence Charge des Services Spéciaux, de la Lutte Contre la Drogue et le Crime Organise</w:t>
            </w:r>
          </w:p>
        </w:tc>
        <w:tc>
          <w:tcPr>
            <w:tcW w:w="1677" w:type="dxa"/>
            <w:tcBorders>
              <w:top w:val="nil"/>
              <w:left w:val="nil"/>
              <w:bottom w:val="single" w:sz="4" w:space="0" w:color="auto"/>
              <w:right w:val="single" w:sz="4" w:space="0" w:color="auto"/>
            </w:tcBorders>
            <w:shd w:val="clear" w:color="auto" w:fill="auto"/>
            <w:noWrap/>
            <w:vAlign w:val="center"/>
            <w:hideMark/>
          </w:tcPr>
          <w:p w14:paraId="5776F58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7 946 000 000    </w:t>
            </w:r>
          </w:p>
        </w:tc>
        <w:tc>
          <w:tcPr>
            <w:tcW w:w="1677" w:type="dxa"/>
            <w:tcBorders>
              <w:top w:val="nil"/>
              <w:left w:val="nil"/>
              <w:bottom w:val="single" w:sz="4" w:space="0" w:color="auto"/>
              <w:right w:val="nil"/>
            </w:tcBorders>
            <w:shd w:val="clear" w:color="auto" w:fill="auto"/>
            <w:noWrap/>
            <w:vAlign w:val="center"/>
            <w:hideMark/>
          </w:tcPr>
          <w:p w14:paraId="09B55864"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7 945 999 996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0D0CB7D8"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100,0%</w:t>
            </w:r>
          </w:p>
        </w:tc>
      </w:tr>
      <w:tr w:rsidR="00632215" w:rsidRPr="003D0996" w14:paraId="77DD10D8"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5435E838"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36</w:t>
            </w:r>
          </w:p>
        </w:tc>
        <w:tc>
          <w:tcPr>
            <w:tcW w:w="4461" w:type="dxa"/>
            <w:tcBorders>
              <w:top w:val="nil"/>
              <w:left w:val="single" w:sz="4" w:space="0" w:color="auto"/>
              <w:bottom w:val="single" w:sz="4" w:space="0" w:color="auto"/>
              <w:right w:val="single" w:sz="4" w:space="0" w:color="auto"/>
            </w:tcBorders>
            <w:shd w:val="clear" w:color="auto" w:fill="auto"/>
            <w:vAlign w:val="center"/>
            <w:hideMark/>
          </w:tcPr>
          <w:p w14:paraId="331A7E04"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Ministère du Budget</w:t>
            </w:r>
          </w:p>
        </w:tc>
        <w:tc>
          <w:tcPr>
            <w:tcW w:w="1677" w:type="dxa"/>
            <w:tcBorders>
              <w:top w:val="nil"/>
              <w:left w:val="nil"/>
              <w:bottom w:val="single" w:sz="4" w:space="0" w:color="auto"/>
              <w:right w:val="single" w:sz="4" w:space="0" w:color="auto"/>
            </w:tcBorders>
            <w:shd w:val="clear" w:color="auto" w:fill="auto"/>
            <w:noWrap/>
            <w:vAlign w:val="center"/>
            <w:hideMark/>
          </w:tcPr>
          <w:p w14:paraId="1A6138D8"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147 923 130 000    </w:t>
            </w:r>
          </w:p>
        </w:tc>
        <w:tc>
          <w:tcPr>
            <w:tcW w:w="1677" w:type="dxa"/>
            <w:tcBorders>
              <w:top w:val="nil"/>
              <w:left w:val="nil"/>
              <w:bottom w:val="single" w:sz="4" w:space="0" w:color="auto"/>
              <w:right w:val="nil"/>
            </w:tcBorders>
            <w:shd w:val="clear" w:color="auto" w:fill="auto"/>
            <w:noWrap/>
            <w:vAlign w:val="center"/>
            <w:hideMark/>
          </w:tcPr>
          <w:p w14:paraId="1ECE84B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67 744 352 981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3C56C6A"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45,8%</w:t>
            </w:r>
          </w:p>
        </w:tc>
      </w:tr>
      <w:tr w:rsidR="00632215" w:rsidRPr="003D0996" w14:paraId="1CEE22B9" w14:textId="77777777" w:rsidTr="00326A6C">
        <w:trPr>
          <w:trHeight w:val="56"/>
        </w:trPr>
        <w:tc>
          <w:tcPr>
            <w:tcW w:w="643" w:type="dxa"/>
            <w:tcBorders>
              <w:top w:val="single" w:sz="4" w:space="0" w:color="auto"/>
              <w:left w:val="single" w:sz="4" w:space="0" w:color="auto"/>
              <w:bottom w:val="single" w:sz="4" w:space="0" w:color="auto"/>
              <w:right w:val="nil"/>
            </w:tcBorders>
            <w:shd w:val="clear" w:color="auto" w:fill="auto"/>
            <w:noWrap/>
            <w:vAlign w:val="center"/>
            <w:hideMark/>
          </w:tcPr>
          <w:p w14:paraId="76DC35DC" w14:textId="77777777" w:rsidR="00632215" w:rsidRPr="003D0996" w:rsidRDefault="00632215" w:rsidP="00632215">
            <w:pPr>
              <w:jc w:val="right"/>
              <w:rPr>
                <w:rFonts w:ascii="Times New Roman" w:eastAsia="Times New Roman" w:hAnsi="Times New Roman" w:cs="Times New Roman"/>
                <w:bCs/>
                <w:color w:val="000000" w:themeColor="text1"/>
                <w:sz w:val="20"/>
                <w:szCs w:val="20"/>
              </w:rPr>
            </w:pPr>
            <w:r w:rsidRPr="003D0996">
              <w:rPr>
                <w:rFonts w:ascii="Times New Roman" w:eastAsia="Times New Roman" w:hAnsi="Times New Roman" w:cs="Times New Roman"/>
                <w:bCs/>
                <w:color w:val="000000" w:themeColor="text1"/>
                <w:sz w:val="20"/>
                <w:szCs w:val="20"/>
              </w:rPr>
              <w:t>37</w:t>
            </w:r>
          </w:p>
        </w:tc>
        <w:tc>
          <w:tcPr>
            <w:tcW w:w="4461" w:type="dxa"/>
            <w:tcBorders>
              <w:top w:val="nil"/>
              <w:left w:val="single" w:sz="4" w:space="0" w:color="auto"/>
              <w:bottom w:val="nil"/>
              <w:right w:val="single" w:sz="4" w:space="0" w:color="auto"/>
            </w:tcBorders>
            <w:shd w:val="clear" w:color="auto" w:fill="auto"/>
            <w:vAlign w:val="center"/>
            <w:hideMark/>
          </w:tcPr>
          <w:p w14:paraId="790B41D0" w14:textId="77777777" w:rsidR="00632215" w:rsidRPr="003D0996" w:rsidRDefault="00632215" w:rsidP="00632215">
            <w:pPr>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Dépenses Communes</w:t>
            </w:r>
          </w:p>
        </w:tc>
        <w:tc>
          <w:tcPr>
            <w:tcW w:w="1677" w:type="dxa"/>
            <w:tcBorders>
              <w:top w:val="nil"/>
              <w:left w:val="nil"/>
              <w:bottom w:val="nil"/>
              <w:right w:val="single" w:sz="4" w:space="0" w:color="auto"/>
            </w:tcBorders>
            <w:shd w:val="clear" w:color="auto" w:fill="auto"/>
            <w:noWrap/>
            <w:vAlign w:val="center"/>
            <w:hideMark/>
          </w:tcPr>
          <w:p w14:paraId="3FE8C35F"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367 108 987 070    </w:t>
            </w:r>
          </w:p>
        </w:tc>
        <w:tc>
          <w:tcPr>
            <w:tcW w:w="1677" w:type="dxa"/>
            <w:tcBorders>
              <w:top w:val="nil"/>
              <w:left w:val="nil"/>
              <w:bottom w:val="nil"/>
              <w:right w:val="nil"/>
            </w:tcBorders>
            <w:shd w:val="clear" w:color="auto" w:fill="auto"/>
            <w:noWrap/>
            <w:vAlign w:val="center"/>
            <w:hideMark/>
          </w:tcPr>
          <w:p w14:paraId="5F9BE242" w14:textId="77777777" w:rsidR="00632215" w:rsidRPr="003D0996" w:rsidRDefault="00632215" w:rsidP="00632215">
            <w:pPr>
              <w:jc w:val="right"/>
              <w:rPr>
                <w:rFonts w:ascii="Times New Roman" w:eastAsia="Times New Roman" w:hAnsi="Times New Roman" w:cs="Times New Roman"/>
                <w:color w:val="000000" w:themeColor="text1"/>
                <w:sz w:val="20"/>
                <w:szCs w:val="20"/>
              </w:rPr>
            </w:pPr>
            <w:r w:rsidRPr="003D0996">
              <w:rPr>
                <w:rFonts w:ascii="Times New Roman" w:eastAsia="Times New Roman" w:hAnsi="Times New Roman" w:cs="Times New Roman"/>
                <w:color w:val="000000" w:themeColor="text1"/>
                <w:sz w:val="20"/>
                <w:szCs w:val="20"/>
              </w:rPr>
              <w:t xml:space="preserve">61 389 749 064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A43FA81"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16,7%</w:t>
            </w:r>
          </w:p>
        </w:tc>
      </w:tr>
      <w:tr w:rsidR="00632215" w:rsidRPr="003D0996" w14:paraId="3C5A62DB" w14:textId="77777777" w:rsidTr="00326A6C">
        <w:trPr>
          <w:trHeight w:val="56"/>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6D06C"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 </w:t>
            </w:r>
          </w:p>
        </w:tc>
        <w:tc>
          <w:tcPr>
            <w:tcW w:w="4461" w:type="dxa"/>
            <w:tcBorders>
              <w:top w:val="single" w:sz="4" w:space="0" w:color="auto"/>
              <w:left w:val="nil"/>
              <w:bottom w:val="single" w:sz="4" w:space="0" w:color="auto"/>
              <w:right w:val="single" w:sz="4" w:space="0" w:color="auto"/>
            </w:tcBorders>
            <w:shd w:val="clear" w:color="auto" w:fill="auto"/>
            <w:vAlign w:val="center"/>
            <w:hideMark/>
          </w:tcPr>
          <w:p w14:paraId="5E66A86F" w14:textId="77777777" w:rsidR="00632215" w:rsidRPr="003D0996" w:rsidRDefault="00632215" w:rsidP="00632215">
            <w:pPr>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TOTAL</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23588511"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 xml:space="preserve">7 612 390 085 937    </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15F58F61"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 xml:space="preserve">4 474 261 840 869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088A4A8B" w14:textId="77777777" w:rsidR="00632215" w:rsidRPr="003D0996" w:rsidRDefault="00632215" w:rsidP="00632215">
            <w:pPr>
              <w:jc w:val="right"/>
              <w:rPr>
                <w:rFonts w:ascii="Times New Roman" w:eastAsia="Times New Roman" w:hAnsi="Times New Roman" w:cs="Times New Roman"/>
                <w:b/>
                <w:bCs/>
                <w:color w:val="000000" w:themeColor="text1"/>
                <w:sz w:val="20"/>
                <w:szCs w:val="20"/>
              </w:rPr>
            </w:pPr>
            <w:r w:rsidRPr="003D0996">
              <w:rPr>
                <w:rFonts w:ascii="Times New Roman" w:eastAsia="Times New Roman" w:hAnsi="Times New Roman" w:cs="Times New Roman"/>
                <w:b/>
                <w:bCs/>
                <w:color w:val="000000" w:themeColor="text1"/>
                <w:sz w:val="20"/>
                <w:szCs w:val="20"/>
              </w:rPr>
              <w:t>58,8%</w:t>
            </w:r>
          </w:p>
        </w:tc>
      </w:tr>
    </w:tbl>
    <w:p w14:paraId="728F3369" w14:textId="77777777" w:rsidR="00632215" w:rsidRPr="003D0996" w:rsidRDefault="00632215" w:rsidP="00632215">
      <w:pPr>
        <w:jc w:val="both"/>
        <w:rPr>
          <w:rFonts w:ascii="Times New Roman" w:eastAsia="Times New Roman" w:hAnsi="Times New Roman" w:cs="Times New Roman"/>
          <w:color w:val="000000" w:themeColor="text1"/>
          <w:sz w:val="24"/>
          <w:szCs w:val="24"/>
        </w:rPr>
      </w:pPr>
    </w:p>
    <w:p w14:paraId="7AB44AC3" w14:textId="4DF4458D" w:rsidR="00632215" w:rsidRPr="006333CC" w:rsidRDefault="00AD7D3B" w:rsidP="00632215">
      <w:p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L</w:t>
      </w:r>
      <w:r w:rsidR="00632215"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examen </w:t>
      </w:r>
      <w:r w:rsidR="00632215" w:rsidRPr="006333CC">
        <w:rPr>
          <w:rFonts w:ascii="Times New Roman" w:hAnsi="Times New Roman" w:cs="Times New Roman"/>
          <w:color w:val="000000" w:themeColor="text1"/>
          <w:sz w:val="28"/>
          <w:szCs w:val="28"/>
        </w:rPr>
        <w:t xml:space="preserve">de ce tableau </w:t>
      </w:r>
      <w:r w:rsidRPr="006333CC">
        <w:rPr>
          <w:rFonts w:ascii="Times New Roman" w:hAnsi="Times New Roman" w:cs="Times New Roman"/>
          <w:color w:val="000000" w:themeColor="text1"/>
          <w:sz w:val="28"/>
          <w:szCs w:val="28"/>
        </w:rPr>
        <w:t>montre que</w:t>
      </w:r>
      <w:r w:rsidR="00632215" w:rsidRPr="006333CC">
        <w:rPr>
          <w:rFonts w:ascii="Times New Roman" w:hAnsi="Times New Roman" w:cs="Times New Roman"/>
          <w:color w:val="000000" w:themeColor="text1"/>
          <w:sz w:val="28"/>
          <w:szCs w:val="28"/>
        </w:rPr>
        <w:t> le niveau d’exécution des dépens</w:t>
      </w:r>
      <w:r w:rsidR="008C6771" w:rsidRPr="006333CC">
        <w:rPr>
          <w:rFonts w:ascii="Times New Roman" w:hAnsi="Times New Roman" w:cs="Times New Roman"/>
          <w:color w:val="000000" w:themeColor="text1"/>
          <w:sz w:val="28"/>
          <w:szCs w:val="28"/>
        </w:rPr>
        <w:t>e</w:t>
      </w:r>
      <w:r w:rsidR="00632215" w:rsidRPr="006333CC">
        <w:rPr>
          <w:rFonts w:ascii="Times New Roman" w:hAnsi="Times New Roman" w:cs="Times New Roman"/>
          <w:color w:val="000000" w:themeColor="text1"/>
          <w:sz w:val="28"/>
          <w:szCs w:val="28"/>
        </w:rPr>
        <w:t xml:space="preserve">s d’investissement des 36 départements </w:t>
      </w:r>
      <w:r w:rsidRPr="006333CC">
        <w:rPr>
          <w:rFonts w:ascii="Times New Roman" w:hAnsi="Times New Roman" w:cs="Times New Roman"/>
          <w:color w:val="000000" w:themeColor="text1"/>
          <w:sz w:val="28"/>
          <w:szCs w:val="28"/>
        </w:rPr>
        <w:t>et/ou institutions se présente</w:t>
      </w:r>
      <w:r w:rsidR="00632215" w:rsidRPr="006333CC">
        <w:rPr>
          <w:rFonts w:ascii="Times New Roman" w:hAnsi="Times New Roman" w:cs="Times New Roman"/>
          <w:color w:val="000000" w:themeColor="text1"/>
          <w:sz w:val="28"/>
          <w:szCs w:val="28"/>
        </w:rPr>
        <w:t xml:space="preserve"> comme suit</w:t>
      </w:r>
      <w:r w:rsidR="008C6771" w:rsidRPr="006333CC">
        <w:rPr>
          <w:rFonts w:ascii="Times New Roman" w:hAnsi="Times New Roman" w:cs="Times New Roman"/>
          <w:color w:val="000000" w:themeColor="text1"/>
          <w:sz w:val="28"/>
          <w:szCs w:val="28"/>
        </w:rPr>
        <w:t xml:space="preserve"> </w:t>
      </w:r>
      <w:r w:rsidR="00632215" w:rsidRPr="006333CC">
        <w:rPr>
          <w:rFonts w:ascii="Times New Roman" w:hAnsi="Times New Roman" w:cs="Times New Roman"/>
          <w:color w:val="000000" w:themeColor="text1"/>
          <w:sz w:val="28"/>
          <w:szCs w:val="28"/>
        </w:rPr>
        <w:t>:</w:t>
      </w:r>
    </w:p>
    <w:p w14:paraId="71A51259" w14:textId="77777777" w:rsidR="00632215" w:rsidRPr="006333CC" w:rsidRDefault="00632215" w:rsidP="00E858A7">
      <w:pPr>
        <w:pStyle w:val="Paragraphedeliste"/>
        <w:numPr>
          <w:ilvl w:val="0"/>
          <w:numId w:val="15"/>
        </w:num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dix (10) ont un niveau d’exécution de moins de 50% ;</w:t>
      </w:r>
    </w:p>
    <w:p w14:paraId="64BDD5BE" w14:textId="77777777" w:rsidR="00632215" w:rsidRPr="006333CC" w:rsidRDefault="00632215" w:rsidP="00E858A7">
      <w:pPr>
        <w:pStyle w:val="Paragraphedeliste"/>
        <w:numPr>
          <w:ilvl w:val="0"/>
          <w:numId w:val="15"/>
        </w:num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onze (11) ont un niveau d’exécution  compris entre 50 et 75% ;</w:t>
      </w:r>
    </w:p>
    <w:p w14:paraId="61BDCC23" w14:textId="77777777" w:rsidR="00632215" w:rsidRPr="006333CC" w:rsidRDefault="00632215" w:rsidP="00E858A7">
      <w:pPr>
        <w:pStyle w:val="Paragraphedeliste"/>
        <w:numPr>
          <w:ilvl w:val="0"/>
          <w:numId w:val="15"/>
        </w:num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seize (16) ont un niveau d’exécution  supérieur  à 75% ;</w:t>
      </w:r>
    </w:p>
    <w:p w14:paraId="494D4D0E" w14:textId="3FD2B0B0" w:rsidR="00632215" w:rsidRPr="006333CC" w:rsidRDefault="00632215" w:rsidP="00632215">
      <w:p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Il est</w:t>
      </w:r>
      <w:r w:rsidR="00AD7D3B" w:rsidRPr="006333CC">
        <w:rPr>
          <w:rFonts w:ascii="Times New Roman" w:hAnsi="Times New Roman" w:cs="Times New Roman"/>
          <w:color w:val="000000" w:themeColor="text1"/>
          <w:sz w:val="28"/>
          <w:szCs w:val="28"/>
        </w:rPr>
        <w:t xml:space="preserve"> à noter que le Secrétariat Général</w:t>
      </w:r>
      <w:r w:rsidRPr="006333CC">
        <w:rPr>
          <w:rFonts w:ascii="Times New Roman" w:hAnsi="Times New Roman" w:cs="Times New Roman"/>
          <w:color w:val="000000" w:themeColor="text1"/>
          <w:sz w:val="28"/>
          <w:szCs w:val="28"/>
        </w:rPr>
        <w:t xml:space="preserve"> du Gouvernement</w:t>
      </w:r>
      <w:r w:rsidR="008C6771"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sur une allocation de 5 milliards de GNF n’a</w:t>
      </w:r>
      <w:r w:rsidR="008C6771"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à date</w:t>
      </w:r>
      <w:r w:rsidR="008C6771"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rien exécuté. </w:t>
      </w:r>
    </w:p>
    <w:p w14:paraId="135F7604" w14:textId="77777777" w:rsidR="006D5230" w:rsidRPr="006333CC" w:rsidRDefault="006D5230" w:rsidP="00632215">
      <w:pPr>
        <w:jc w:val="both"/>
        <w:rPr>
          <w:rFonts w:ascii="Times New Roman" w:hAnsi="Times New Roman" w:cs="Times New Roman"/>
          <w:color w:val="000000" w:themeColor="text1"/>
          <w:sz w:val="28"/>
          <w:szCs w:val="28"/>
        </w:rPr>
      </w:pPr>
    </w:p>
    <w:p w14:paraId="3591F2F8" w14:textId="5F303D30" w:rsidR="00632215" w:rsidRPr="006333CC" w:rsidRDefault="00AD7D3B" w:rsidP="00632215">
      <w:p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Par ailleurs</w:t>
      </w:r>
      <w:r w:rsidR="00632215" w:rsidRPr="006333CC">
        <w:rPr>
          <w:rFonts w:ascii="Times New Roman" w:hAnsi="Times New Roman" w:cs="Times New Roman"/>
          <w:color w:val="000000" w:themeColor="text1"/>
          <w:sz w:val="28"/>
          <w:szCs w:val="28"/>
        </w:rPr>
        <w:t>, les Ministères en charge du Transport (10,5%), des Mines (20,6%), de l’Administration du Territoire (24,3%)  et l’ACGP (10,5%)</w:t>
      </w:r>
      <w:r w:rsidR="008C6771" w:rsidRPr="006333CC">
        <w:rPr>
          <w:rFonts w:ascii="Times New Roman" w:hAnsi="Times New Roman" w:cs="Times New Roman"/>
          <w:color w:val="000000" w:themeColor="text1"/>
          <w:sz w:val="28"/>
          <w:szCs w:val="28"/>
        </w:rPr>
        <w:t>,</w:t>
      </w:r>
      <w:r w:rsidR="00632215" w:rsidRPr="006333CC">
        <w:rPr>
          <w:rFonts w:ascii="Times New Roman" w:hAnsi="Times New Roman" w:cs="Times New Roman"/>
          <w:color w:val="000000" w:themeColor="text1"/>
          <w:sz w:val="28"/>
          <w:szCs w:val="28"/>
        </w:rPr>
        <w:t xml:space="preserve"> ont les taux d’exécution les plus faibles. Ceux en charge de l’Enseignement pré</w:t>
      </w:r>
      <w:r w:rsidR="008C6771" w:rsidRPr="006333CC">
        <w:rPr>
          <w:rFonts w:ascii="Times New Roman" w:hAnsi="Times New Roman" w:cs="Times New Roman"/>
          <w:color w:val="000000" w:themeColor="text1"/>
          <w:sz w:val="28"/>
          <w:szCs w:val="28"/>
        </w:rPr>
        <w:t>-</w:t>
      </w:r>
      <w:r w:rsidR="00632215" w:rsidRPr="006333CC">
        <w:rPr>
          <w:rFonts w:ascii="Times New Roman" w:hAnsi="Times New Roman" w:cs="Times New Roman"/>
          <w:color w:val="000000" w:themeColor="text1"/>
          <w:sz w:val="28"/>
          <w:szCs w:val="28"/>
        </w:rPr>
        <w:t>universitaire (89,2%), de l’Economie et des Finances (93,3%), du Plan (94,1%), de la Défense (98,5%) ont les taux d’exécution les plus élevés. Quant à la Présidence et la Cour suprême</w:t>
      </w:r>
      <w:r w:rsidR="008C6771" w:rsidRPr="006333CC">
        <w:rPr>
          <w:rFonts w:ascii="Times New Roman" w:hAnsi="Times New Roman" w:cs="Times New Roman"/>
          <w:color w:val="000000" w:themeColor="text1"/>
          <w:sz w:val="28"/>
          <w:szCs w:val="28"/>
        </w:rPr>
        <w:t>,</w:t>
      </w:r>
      <w:r w:rsidR="00632215" w:rsidRPr="006333CC">
        <w:rPr>
          <w:rFonts w:ascii="Times New Roman" w:hAnsi="Times New Roman" w:cs="Times New Roman"/>
          <w:color w:val="000000" w:themeColor="text1"/>
          <w:sz w:val="28"/>
          <w:szCs w:val="28"/>
        </w:rPr>
        <w:t xml:space="preserve"> leurs taux d’exécution sont de 100%.</w:t>
      </w:r>
    </w:p>
    <w:p w14:paraId="63065A8A" w14:textId="77777777" w:rsidR="00326A6C" w:rsidRPr="006333CC" w:rsidRDefault="00326A6C" w:rsidP="00632215">
      <w:pPr>
        <w:jc w:val="both"/>
        <w:rPr>
          <w:rFonts w:ascii="Times New Roman" w:hAnsi="Times New Roman" w:cs="Times New Roman"/>
          <w:color w:val="000000" w:themeColor="text1"/>
          <w:sz w:val="28"/>
          <w:szCs w:val="28"/>
        </w:rPr>
      </w:pPr>
    </w:p>
    <w:p w14:paraId="3B22E89D" w14:textId="05CC3A47" w:rsidR="00632215" w:rsidRPr="006333CC" w:rsidRDefault="00632215" w:rsidP="00632215">
      <w:p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 xml:space="preserve">De cette analyse, il découle les constats suivants : </w:t>
      </w:r>
    </w:p>
    <w:p w14:paraId="28B4724A" w14:textId="58A831E1" w:rsidR="00632215" w:rsidRPr="006333CC" w:rsidRDefault="00632215" w:rsidP="00E858A7">
      <w:pPr>
        <w:pStyle w:val="Paragraphedeliste"/>
        <w:numPr>
          <w:ilvl w:val="0"/>
          <w:numId w:val="14"/>
        </w:numPr>
        <w:jc w:val="both"/>
        <w:rPr>
          <w:rFonts w:ascii="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t>une grande disparité entre les taux d’exécution des départements</w:t>
      </w:r>
      <w:r w:rsidR="008C6771"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qui sont pourtant tous soumis au même code de passation des </w:t>
      </w:r>
      <w:r w:rsidR="00AD7D3B" w:rsidRPr="006333CC">
        <w:rPr>
          <w:rFonts w:ascii="Times New Roman" w:hAnsi="Times New Roman" w:cs="Times New Roman"/>
          <w:color w:val="000000" w:themeColor="text1"/>
          <w:sz w:val="28"/>
          <w:szCs w:val="28"/>
        </w:rPr>
        <w:t>marchés publics ;</w:t>
      </w:r>
    </w:p>
    <w:p w14:paraId="2D915AE0" w14:textId="2378D01B" w:rsidR="00632215" w:rsidRPr="006333CC" w:rsidRDefault="00632215" w:rsidP="00E858A7">
      <w:pPr>
        <w:pStyle w:val="Paragraphedeliste"/>
        <w:numPr>
          <w:ilvl w:val="0"/>
          <w:numId w:val="14"/>
        </w:numPr>
        <w:jc w:val="both"/>
        <w:rPr>
          <w:rFonts w:ascii="Times New Roman" w:eastAsia="Times New Roman" w:hAnsi="Times New Roman" w:cs="Times New Roman"/>
          <w:color w:val="000000" w:themeColor="text1"/>
          <w:sz w:val="28"/>
          <w:szCs w:val="28"/>
        </w:rPr>
      </w:pPr>
      <w:r w:rsidRPr="006333CC">
        <w:rPr>
          <w:rFonts w:ascii="Times New Roman" w:hAnsi="Times New Roman" w:cs="Times New Roman"/>
          <w:color w:val="000000" w:themeColor="text1"/>
          <w:sz w:val="28"/>
          <w:szCs w:val="28"/>
        </w:rPr>
        <w:lastRenderedPageBreak/>
        <w:t>21 départements sur 37, soit plus de la moitié</w:t>
      </w:r>
      <w:r w:rsidR="008C6771" w:rsidRPr="006333CC">
        <w:rPr>
          <w:rFonts w:ascii="Times New Roman" w:hAnsi="Times New Roman" w:cs="Times New Roman"/>
          <w:color w:val="000000" w:themeColor="text1"/>
          <w:sz w:val="28"/>
          <w:szCs w:val="28"/>
        </w:rPr>
        <w:t>,</w:t>
      </w:r>
      <w:r w:rsidRPr="006333CC">
        <w:rPr>
          <w:rFonts w:ascii="Times New Roman" w:hAnsi="Times New Roman" w:cs="Times New Roman"/>
          <w:color w:val="000000" w:themeColor="text1"/>
          <w:sz w:val="28"/>
          <w:szCs w:val="28"/>
        </w:rPr>
        <w:t xml:space="preserve"> ont un taux d’exécution inférieur à l’objectif minimum annuel qui est de 75%</w:t>
      </w:r>
      <w:r w:rsidR="008C6771" w:rsidRPr="006333CC">
        <w:rPr>
          <w:rFonts w:ascii="Times New Roman" w:hAnsi="Times New Roman" w:cs="Times New Roman"/>
          <w:color w:val="000000" w:themeColor="text1"/>
          <w:sz w:val="28"/>
          <w:szCs w:val="28"/>
        </w:rPr>
        <w:t> ;</w:t>
      </w:r>
      <w:r w:rsidRPr="006333CC">
        <w:rPr>
          <w:rFonts w:ascii="Times New Roman" w:hAnsi="Times New Roman" w:cs="Times New Roman"/>
          <w:color w:val="000000" w:themeColor="text1"/>
          <w:sz w:val="28"/>
          <w:szCs w:val="28"/>
        </w:rPr>
        <w:t xml:space="preserve"> ce qui affecte le niveau d’exécution global des dépenses d’investissement.</w:t>
      </w:r>
    </w:p>
    <w:p w14:paraId="3C57FC9F" w14:textId="77777777" w:rsidR="00632215" w:rsidRPr="006333CC" w:rsidRDefault="00632215" w:rsidP="00632215">
      <w:pPr>
        <w:jc w:val="both"/>
        <w:rPr>
          <w:rFonts w:ascii="Times New Roman" w:eastAsia="Times New Roman" w:hAnsi="Times New Roman" w:cs="Times New Roman"/>
          <w:color w:val="000000" w:themeColor="text1"/>
          <w:sz w:val="28"/>
          <w:szCs w:val="28"/>
        </w:rPr>
      </w:pPr>
    </w:p>
    <w:p w14:paraId="168330E9" w14:textId="6CD46802" w:rsidR="00632215" w:rsidRPr="006333CC" w:rsidRDefault="0063221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Par conséquent, le CNT invite le Gouvernement à améliorer considérablement le niveau global des dépenses d’investissement</w:t>
      </w:r>
      <w:r w:rsidR="008C677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en vue d’assurer un développement durable.</w:t>
      </w:r>
    </w:p>
    <w:p w14:paraId="41F8299F" w14:textId="77777777" w:rsidR="00632215" w:rsidRPr="006333CC" w:rsidRDefault="00632215" w:rsidP="00632215">
      <w:pPr>
        <w:jc w:val="both"/>
        <w:rPr>
          <w:rFonts w:ascii="Times New Roman" w:eastAsia="Times New Roman" w:hAnsi="Times New Roman" w:cs="Times New Roman"/>
          <w:color w:val="000000" w:themeColor="text1"/>
          <w:sz w:val="28"/>
          <w:szCs w:val="28"/>
        </w:rPr>
      </w:pPr>
    </w:p>
    <w:p w14:paraId="68617D78" w14:textId="77777777" w:rsidR="00632215" w:rsidRPr="006333CC" w:rsidRDefault="00632215" w:rsidP="00632215">
      <w:pPr>
        <w:jc w:val="both"/>
        <w:rPr>
          <w:rFonts w:ascii="Times New Roman" w:eastAsia="Times New Roman" w:hAnsi="Times New Roman" w:cs="Times New Roman"/>
          <w:b/>
          <w:color w:val="000000" w:themeColor="text1"/>
          <w:sz w:val="28"/>
          <w:szCs w:val="28"/>
        </w:rPr>
      </w:pPr>
      <w:r w:rsidRPr="006333CC">
        <w:rPr>
          <w:rFonts w:ascii="Times New Roman" w:eastAsia="Times New Roman" w:hAnsi="Times New Roman" w:cs="Times New Roman"/>
          <w:b/>
          <w:color w:val="000000" w:themeColor="text1"/>
          <w:sz w:val="28"/>
          <w:szCs w:val="28"/>
        </w:rPr>
        <w:t>Honorables Conseillers Nationaux,</w:t>
      </w:r>
    </w:p>
    <w:p w14:paraId="7F175415" w14:textId="77777777" w:rsidR="00632215" w:rsidRPr="006333CC" w:rsidRDefault="00632215" w:rsidP="00632215">
      <w:pPr>
        <w:jc w:val="both"/>
        <w:rPr>
          <w:rFonts w:ascii="Times New Roman" w:eastAsia="Times New Roman" w:hAnsi="Times New Roman" w:cs="Times New Roman"/>
          <w:color w:val="000000" w:themeColor="text1"/>
          <w:sz w:val="28"/>
          <w:szCs w:val="28"/>
        </w:rPr>
      </w:pPr>
    </w:p>
    <w:p w14:paraId="3D01B49F" w14:textId="1548C5AB" w:rsidR="00632215" w:rsidRPr="006333CC" w:rsidRDefault="0063221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Lors des travaux en commission et inter-commission</w:t>
      </w:r>
      <w:r w:rsidR="008C6771" w:rsidRPr="006333CC">
        <w:rPr>
          <w:rFonts w:ascii="Times New Roman" w:eastAsia="Times New Roman" w:hAnsi="Times New Roman" w:cs="Times New Roman"/>
          <w:color w:val="000000" w:themeColor="text1"/>
          <w:sz w:val="28"/>
          <w:szCs w:val="28"/>
        </w:rPr>
        <w:t>s</w:t>
      </w:r>
      <w:r w:rsidRPr="006333CC">
        <w:rPr>
          <w:rFonts w:ascii="Times New Roman" w:eastAsia="Times New Roman" w:hAnsi="Times New Roman" w:cs="Times New Roman"/>
          <w:color w:val="000000" w:themeColor="text1"/>
          <w:sz w:val="28"/>
          <w:szCs w:val="28"/>
        </w:rPr>
        <w:t xml:space="preserve">, la question liée au statut et au fonctionnement des Bureaux de Stratégie et de Développement (BSD) a fait l’objet d’intenses débats. Conformément à l’article </w:t>
      </w:r>
      <w:r w:rsidR="00A9745C" w:rsidRPr="006333CC">
        <w:rPr>
          <w:rFonts w:ascii="Times New Roman" w:eastAsia="Times New Roman" w:hAnsi="Times New Roman" w:cs="Times New Roman"/>
          <w:color w:val="000000" w:themeColor="text1"/>
          <w:sz w:val="28"/>
          <w:szCs w:val="28"/>
        </w:rPr>
        <w:t>2 du</w:t>
      </w:r>
      <w:r w:rsidRPr="006333CC">
        <w:rPr>
          <w:rFonts w:ascii="Times New Roman" w:eastAsia="Times New Roman" w:hAnsi="Times New Roman" w:cs="Times New Roman"/>
          <w:color w:val="000000" w:themeColor="text1"/>
          <w:sz w:val="28"/>
          <w:szCs w:val="28"/>
        </w:rPr>
        <w:t xml:space="preserve"> décret 049 du 27 Mars 2015, les BSD ont pour principales missions</w:t>
      </w:r>
      <w:r w:rsidR="008C6771" w:rsidRPr="006333CC">
        <w:rPr>
          <w:rFonts w:ascii="Times New Roman" w:eastAsia="Times New Roman" w:hAnsi="Times New Roman" w:cs="Times New Roman"/>
          <w:color w:val="000000" w:themeColor="text1"/>
          <w:sz w:val="28"/>
          <w:szCs w:val="28"/>
        </w:rPr>
        <w:t> :</w:t>
      </w:r>
      <w:r w:rsidRPr="006333CC">
        <w:rPr>
          <w:rFonts w:ascii="Times New Roman" w:eastAsia="Times New Roman" w:hAnsi="Times New Roman" w:cs="Times New Roman"/>
          <w:color w:val="000000" w:themeColor="text1"/>
          <w:sz w:val="28"/>
          <w:szCs w:val="28"/>
        </w:rPr>
        <w:t xml:space="preserve"> les études, la planification et le suivi de la mise en œuvre des projets. </w:t>
      </w:r>
    </w:p>
    <w:p w14:paraId="057B0F82" w14:textId="77777777" w:rsidR="00632215" w:rsidRPr="006333CC" w:rsidRDefault="0063221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Malgré cette importante mission, Le CNT constate que les BSD sont parmi les services les moins dotés en crédits budgétaires ; ce qui les empêche de jouer pleinement leurs rôles. </w:t>
      </w:r>
      <w:r w:rsidRPr="006333CC">
        <w:rPr>
          <w:rFonts w:ascii="Times New Roman" w:eastAsia="Times New Roman" w:hAnsi="Times New Roman" w:cs="Times New Roman"/>
          <w:b/>
          <w:color w:val="000000" w:themeColor="text1"/>
          <w:sz w:val="28"/>
          <w:szCs w:val="28"/>
        </w:rPr>
        <w:t>Il invite les départements sectoriels à revoir à la hausse leur dotation dans la prochaine loi de finances et à assurer une meilleure synergie entre eux et les autres structures de l’administration</w:t>
      </w:r>
      <w:r w:rsidRPr="006333CC">
        <w:rPr>
          <w:rFonts w:ascii="Times New Roman" w:eastAsia="Times New Roman" w:hAnsi="Times New Roman" w:cs="Times New Roman"/>
          <w:color w:val="000000" w:themeColor="text1"/>
          <w:sz w:val="28"/>
          <w:szCs w:val="28"/>
        </w:rPr>
        <w:t>.</w:t>
      </w:r>
    </w:p>
    <w:p w14:paraId="74EA1DED" w14:textId="77777777" w:rsidR="00632215" w:rsidRPr="006333CC" w:rsidRDefault="00632215" w:rsidP="00632215">
      <w:pPr>
        <w:jc w:val="both"/>
        <w:rPr>
          <w:rFonts w:ascii="Times New Roman" w:eastAsia="Times New Roman" w:hAnsi="Times New Roman" w:cs="Times New Roman"/>
          <w:b/>
          <w:color w:val="000000" w:themeColor="text1"/>
          <w:sz w:val="28"/>
          <w:szCs w:val="28"/>
        </w:rPr>
      </w:pPr>
    </w:p>
    <w:p w14:paraId="548B1517" w14:textId="77777777" w:rsidR="00632215" w:rsidRPr="006333CC" w:rsidRDefault="00632215" w:rsidP="00632215">
      <w:pPr>
        <w:jc w:val="both"/>
        <w:rPr>
          <w:rFonts w:ascii="Times New Roman" w:eastAsia="Times New Roman" w:hAnsi="Times New Roman" w:cs="Times New Roman"/>
          <w:b/>
          <w:color w:val="000000" w:themeColor="text1"/>
          <w:sz w:val="28"/>
          <w:szCs w:val="28"/>
        </w:rPr>
      </w:pPr>
      <w:r w:rsidRPr="006333CC">
        <w:rPr>
          <w:rFonts w:ascii="Times New Roman" w:eastAsia="Times New Roman" w:hAnsi="Times New Roman" w:cs="Times New Roman"/>
          <w:b/>
          <w:color w:val="000000" w:themeColor="text1"/>
          <w:sz w:val="28"/>
          <w:szCs w:val="28"/>
        </w:rPr>
        <w:t>Honorables Conseillers Nationaux</w:t>
      </w:r>
    </w:p>
    <w:p w14:paraId="3693BBBA" w14:textId="77777777" w:rsidR="00AD7D3B" w:rsidRPr="00D265C5" w:rsidRDefault="00AD7D3B" w:rsidP="00632215">
      <w:pPr>
        <w:jc w:val="both"/>
        <w:rPr>
          <w:rFonts w:ascii="Times New Roman" w:eastAsia="Times New Roman" w:hAnsi="Times New Roman" w:cs="Times New Roman"/>
          <w:b/>
          <w:color w:val="000000" w:themeColor="text1"/>
          <w:sz w:val="24"/>
          <w:szCs w:val="24"/>
        </w:rPr>
      </w:pPr>
    </w:p>
    <w:p w14:paraId="19E4BBD5" w14:textId="34829653" w:rsidR="00632215" w:rsidRPr="003D0996" w:rsidRDefault="00632215" w:rsidP="00632215">
      <w:pPr>
        <w:jc w:val="both"/>
        <w:rPr>
          <w:rFonts w:ascii="Times New Roman" w:eastAsia="Times New Roman" w:hAnsi="Times New Roman" w:cs="Times New Roman"/>
          <w:color w:val="000000" w:themeColor="text1"/>
          <w:sz w:val="24"/>
          <w:szCs w:val="24"/>
        </w:rPr>
      </w:pPr>
      <w:r w:rsidRPr="003D0996">
        <w:rPr>
          <w:rFonts w:ascii="Times New Roman" w:eastAsia="Times New Roman" w:hAnsi="Times New Roman" w:cs="Times New Roman"/>
          <w:color w:val="000000" w:themeColor="text1"/>
          <w:sz w:val="24"/>
          <w:szCs w:val="24"/>
        </w:rPr>
        <w:t xml:space="preserve">Pour ce PLFI 2024, la dotation des ministères en projets d’investissement se présente </w:t>
      </w:r>
      <w:r w:rsidR="00AD7D3B">
        <w:rPr>
          <w:rFonts w:ascii="Times New Roman" w:eastAsia="Times New Roman" w:hAnsi="Times New Roman" w:cs="Times New Roman"/>
          <w:color w:val="000000" w:themeColor="text1"/>
          <w:sz w:val="24"/>
          <w:szCs w:val="24"/>
        </w:rPr>
        <w:t>comme suit :</w:t>
      </w:r>
    </w:p>
    <w:tbl>
      <w:tblPr>
        <w:tblW w:w="9654" w:type="dxa"/>
        <w:tblInd w:w="55" w:type="dxa"/>
        <w:tblCellMar>
          <w:left w:w="70" w:type="dxa"/>
          <w:right w:w="70" w:type="dxa"/>
        </w:tblCellMar>
        <w:tblLook w:val="04A0" w:firstRow="1" w:lastRow="0" w:firstColumn="1" w:lastColumn="0" w:noHBand="0" w:noVBand="1"/>
      </w:tblPr>
      <w:tblGrid>
        <w:gridCol w:w="400"/>
        <w:gridCol w:w="4569"/>
        <w:gridCol w:w="993"/>
        <w:gridCol w:w="1417"/>
        <w:gridCol w:w="1000"/>
        <w:gridCol w:w="1275"/>
      </w:tblGrid>
      <w:tr w:rsidR="00632215" w:rsidRPr="00D265C5" w14:paraId="640E916E" w14:textId="77777777" w:rsidTr="00A9745C">
        <w:trPr>
          <w:trHeight w:val="390"/>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706A53B"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N°</w:t>
            </w:r>
          </w:p>
        </w:tc>
        <w:tc>
          <w:tcPr>
            <w:tcW w:w="45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4FDB3E1" w14:textId="77777777" w:rsidR="00632215" w:rsidRPr="00D265C5" w:rsidRDefault="00632215" w:rsidP="00632215">
            <w:pPr>
              <w:jc w:val="cente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 xml:space="preserve">Département </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3EAAADD" w14:textId="77777777" w:rsidR="00632215" w:rsidRPr="00D265C5" w:rsidRDefault="00632215" w:rsidP="00632215">
            <w:pPr>
              <w:jc w:val="cente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Nbre de projet</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CA997E1" w14:textId="77777777" w:rsidR="00632215" w:rsidRPr="00D265C5" w:rsidRDefault="00632215" w:rsidP="00632215">
            <w:pPr>
              <w:jc w:val="cente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BND</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1348A67" w14:textId="77777777" w:rsidR="00632215" w:rsidRPr="00D265C5" w:rsidRDefault="00632215" w:rsidP="00632215">
            <w:pPr>
              <w:jc w:val="cente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FINEX</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7AE480B" w14:textId="77777777" w:rsidR="00632215" w:rsidRPr="00D265C5" w:rsidRDefault="00632215" w:rsidP="00632215">
            <w:pPr>
              <w:jc w:val="cente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TOTAL</w:t>
            </w:r>
          </w:p>
        </w:tc>
      </w:tr>
      <w:tr w:rsidR="00632215" w:rsidRPr="00D265C5" w14:paraId="1AA2E3D3"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1DEE1516" w14:textId="77777777" w:rsidR="00632215" w:rsidRPr="00D265C5" w:rsidRDefault="00632215" w:rsidP="00632215">
            <w:pP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 </w:t>
            </w:r>
          </w:p>
        </w:tc>
        <w:tc>
          <w:tcPr>
            <w:tcW w:w="4569" w:type="dxa"/>
            <w:tcBorders>
              <w:top w:val="nil"/>
              <w:left w:val="nil"/>
              <w:bottom w:val="single" w:sz="4" w:space="0" w:color="auto"/>
              <w:right w:val="single" w:sz="4" w:space="0" w:color="auto"/>
            </w:tcBorders>
            <w:shd w:val="clear" w:color="000000" w:fill="FFFFFF"/>
            <w:vAlign w:val="bottom"/>
            <w:hideMark/>
          </w:tcPr>
          <w:p w14:paraId="51ABA497" w14:textId="77777777" w:rsidR="00632215" w:rsidRPr="00D265C5" w:rsidRDefault="00632215" w:rsidP="00632215">
            <w:pPr>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Total</w:t>
            </w:r>
          </w:p>
        </w:tc>
        <w:tc>
          <w:tcPr>
            <w:tcW w:w="993" w:type="dxa"/>
            <w:tcBorders>
              <w:top w:val="nil"/>
              <w:left w:val="nil"/>
              <w:bottom w:val="single" w:sz="4" w:space="0" w:color="auto"/>
              <w:right w:val="single" w:sz="4" w:space="0" w:color="auto"/>
            </w:tcBorders>
            <w:shd w:val="clear" w:color="000000" w:fill="FFFFFF"/>
            <w:noWrap/>
            <w:vAlign w:val="bottom"/>
            <w:hideMark/>
          </w:tcPr>
          <w:p w14:paraId="40D60627"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382</w:t>
            </w:r>
          </w:p>
        </w:tc>
        <w:tc>
          <w:tcPr>
            <w:tcW w:w="1417" w:type="dxa"/>
            <w:tcBorders>
              <w:top w:val="nil"/>
              <w:left w:val="nil"/>
              <w:bottom w:val="single" w:sz="4" w:space="0" w:color="auto"/>
              <w:right w:val="single" w:sz="4" w:space="0" w:color="auto"/>
            </w:tcBorders>
            <w:shd w:val="clear" w:color="000000" w:fill="FFFFFF"/>
            <w:noWrap/>
            <w:vAlign w:val="bottom"/>
            <w:hideMark/>
          </w:tcPr>
          <w:p w14:paraId="6DB6E314"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6 333 712</w:t>
            </w:r>
          </w:p>
        </w:tc>
        <w:tc>
          <w:tcPr>
            <w:tcW w:w="1000" w:type="dxa"/>
            <w:tcBorders>
              <w:top w:val="nil"/>
              <w:left w:val="nil"/>
              <w:bottom w:val="single" w:sz="4" w:space="0" w:color="auto"/>
              <w:right w:val="single" w:sz="4" w:space="0" w:color="auto"/>
            </w:tcBorders>
            <w:shd w:val="clear" w:color="000000" w:fill="FFFFFF"/>
            <w:noWrap/>
            <w:vAlign w:val="bottom"/>
            <w:hideMark/>
          </w:tcPr>
          <w:p w14:paraId="1C325919"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7 482 005</w:t>
            </w:r>
          </w:p>
        </w:tc>
        <w:tc>
          <w:tcPr>
            <w:tcW w:w="1275" w:type="dxa"/>
            <w:tcBorders>
              <w:top w:val="nil"/>
              <w:left w:val="nil"/>
              <w:bottom w:val="single" w:sz="4" w:space="0" w:color="auto"/>
              <w:right w:val="single" w:sz="4" w:space="0" w:color="auto"/>
            </w:tcBorders>
            <w:shd w:val="clear" w:color="000000" w:fill="FFFFFF"/>
            <w:noWrap/>
            <w:vAlign w:val="bottom"/>
            <w:hideMark/>
          </w:tcPr>
          <w:p w14:paraId="5290DE09"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13 815 717</w:t>
            </w:r>
          </w:p>
        </w:tc>
      </w:tr>
      <w:tr w:rsidR="00632215" w:rsidRPr="00D265C5" w14:paraId="420D38B5" w14:textId="77777777" w:rsidTr="00A9745C">
        <w:trPr>
          <w:trHeight w:val="136"/>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760AE65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w:t>
            </w:r>
          </w:p>
        </w:tc>
        <w:tc>
          <w:tcPr>
            <w:tcW w:w="4569" w:type="dxa"/>
            <w:tcBorders>
              <w:top w:val="nil"/>
              <w:left w:val="nil"/>
              <w:bottom w:val="single" w:sz="4" w:space="0" w:color="auto"/>
              <w:right w:val="single" w:sz="4" w:space="0" w:color="auto"/>
            </w:tcBorders>
            <w:shd w:val="clear" w:color="000000" w:fill="FFFFFF"/>
            <w:vAlign w:val="bottom"/>
            <w:hideMark/>
          </w:tcPr>
          <w:p w14:paraId="1B33D63A"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des Infrastructures et des Travaux Publics </w:t>
            </w:r>
          </w:p>
        </w:tc>
        <w:tc>
          <w:tcPr>
            <w:tcW w:w="993" w:type="dxa"/>
            <w:tcBorders>
              <w:top w:val="nil"/>
              <w:left w:val="nil"/>
              <w:bottom w:val="single" w:sz="4" w:space="0" w:color="auto"/>
              <w:right w:val="single" w:sz="4" w:space="0" w:color="auto"/>
            </w:tcBorders>
            <w:shd w:val="clear" w:color="000000" w:fill="FFFFFF"/>
            <w:vAlign w:val="bottom"/>
            <w:hideMark/>
          </w:tcPr>
          <w:p w14:paraId="2EAE2625"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69</w:t>
            </w:r>
          </w:p>
        </w:tc>
        <w:tc>
          <w:tcPr>
            <w:tcW w:w="1417" w:type="dxa"/>
            <w:tcBorders>
              <w:top w:val="nil"/>
              <w:left w:val="nil"/>
              <w:bottom w:val="single" w:sz="4" w:space="0" w:color="auto"/>
              <w:right w:val="single" w:sz="4" w:space="0" w:color="auto"/>
            </w:tcBorders>
            <w:shd w:val="clear" w:color="000000" w:fill="FFFFFF"/>
            <w:vAlign w:val="bottom"/>
            <w:hideMark/>
          </w:tcPr>
          <w:p w14:paraId="69FA205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1 772 820</w:t>
            </w:r>
          </w:p>
        </w:tc>
        <w:tc>
          <w:tcPr>
            <w:tcW w:w="1000" w:type="dxa"/>
            <w:tcBorders>
              <w:top w:val="nil"/>
              <w:left w:val="nil"/>
              <w:bottom w:val="single" w:sz="4" w:space="0" w:color="auto"/>
              <w:right w:val="single" w:sz="4" w:space="0" w:color="auto"/>
            </w:tcBorders>
            <w:shd w:val="clear" w:color="000000" w:fill="FFFFFF"/>
            <w:vAlign w:val="bottom"/>
            <w:hideMark/>
          </w:tcPr>
          <w:p w14:paraId="3BB6E38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1 440 292</w:t>
            </w:r>
          </w:p>
        </w:tc>
        <w:tc>
          <w:tcPr>
            <w:tcW w:w="1275" w:type="dxa"/>
            <w:tcBorders>
              <w:top w:val="nil"/>
              <w:left w:val="nil"/>
              <w:bottom w:val="single" w:sz="4" w:space="0" w:color="auto"/>
              <w:right w:val="single" w:sz="4" w:space="0" w:color="auto"/>
            </w:tcBorders>
            <w:shd w:val="clear" w:color="000000" w:fill="FFFFFF"/>
            <w:vAlign w:val="bottom"/>
            <w:hideMark/>
          </w:tcPr>
          <w:p w14:paraId="72445211"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3 213 112</w:t>
            </w:r>
          </w:p>
        </w:tc>
      </w:tr>
      <w:tr w:rsidR="00632215" w:rsidRPr="00D265C5" w14:paraId="7B0574F7" w14:textId="77777777" w:rsidTr="00A9745C">
        <w:trPr>
          <w:trHeight w:val="4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10454C34"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w:t>
            </w:r>
          </w:p>
        </w:tc>
        <w:tc>
          <w:tcPr>
            <w:tcW w:w="4569" w:type="dxa"/>
            <w:tcBorders>
              <w:top w:val="nil"/>
              <w:left w:val="nil"/>
              <w:bottom w:val="single" w:sz="4" w:space="0" w:color="auto"/>
              <w:right w:val="single" w:sz="4" w:space="0" w:color="auto"/>
            </w:tcBorders>
            <w:shd w:val="clear" w:color="000000" w:fill="FFFFFF"/>
            <w:vAlign w:val="bottom"/>
            <w:hideMark/>
          </w:tcPr>
          <w:p w14:paraId="4D890F34"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l'Agriculture et de l'Elevage  </w:t>
            </w:r>
          </w:p>
        </w:tc>
        <w:tc>
          <w:tcPr>
            <w:tcW w:w="993" w:type="dxa"/>
            <w:tcBorders>
              <w:top w:val="nil"/>
              <w:left w:val="nil"/>
              <w:bottom w:val="single" w:sz="4" w:space="0" w:color="auto"/>
              <w:right w:val="single" w:sz="4" w:space="0" w:color="auto"/>
            </w:tcBorders>
            <w:shd w:val="clear" w:color="000000" w:fill="FFFFFF"/>
            <w:vAlign w:val="bottom"/>
            <w:hideMark/>
          </w:tcPr>
          <w:p w14:paraId="1E190D1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25</w:t>
            </w:r>
          </w:p>
        </w:tc>
        <w:tc>
          <w:tcPr>
            <w:tcW w:w="1417" w:type="dxa"/>
            <w:tcBorders>
              <w:top w:val="nil"/>
              <w:left w:val="nil"/>
              <w:bottom w:val="single" w:sz="4" w:space="0" w:color="auto"/>
              <w:right w:val="single" w:sz="4" w:space="0" w:color="auto"/>
            </w:tcBorders>
            <w:shd w:val="clear" w:color="000000" w:fill="FFFFFF"/>
            <w:vAlign w:val="bottom"/>
            <w:hideMark/>
          </w:tcPr>
          <w:p w14:paraId="421804F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171 795</w:t>
            </w:r>
          </w:p>
        </w:tc>
        <w:tc>
          <w:tcPr>
            <w:tcW w:w="1000" w:type="dxa"/>
            <w:tcBorders>
              <w:top w:val="nil"/>
              <w:left w:val="nil"/>
              <w:bottom w:val="single" w:sz="4" w:space="0" w:color="auto"/>
              <w:right w:val="single" w:sz="4" w:space="0" w:color="auto"/>
            </w:tcBorders>
            <w:shd w:val="clear" w:color="000000" w:fill="FFFFFF"/>
            <w:vAlign w:val="bottom"/>
            <w:hideMark/>
          </w:tcPr>
          <w:p w14:paraId="2E83813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1 039 343</w:t>
            </w:r>
          </w:p>
        </w:tc>
        <w:tc>
          <w:tcPr>
            <w:tcW w:w="1275" w:type="dxa"/>
            <w:tcBorders>
              <w:top w:val="nil"/>
              <w:left w:val="nil"/>
              <w:bottom w:val="single" w:sz="4" w:space="0" w:color="auto"/>
              <w:right w:val="single" w:sz="4" w:space="0" w:color="auto"/>
            </w:tcBorders>
            <w:shd w:val="clear" w:color="000000" w:fill="FFFFFF"/>
            <w:vAlign w:val="bottom"/>
            <w:hideMark/>
          </w:tcPr>
          <w:p w14:paraId="06014D77"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1 211 138</w:t>
            </w:r>
          </w:p>
        </w:tc>
      </w:tr>
      <w:tr w:rsidR="00632215" w:rsidRPr="00D265C5" w14:paraId="2381D754"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1B65246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w:t>
            </w:r>
          </w:p>
        </w:tc>
        <w:tc>
          <w:tcPr>
            <w:tcW w:w="4569" w:type="dxa"/>
            <w:tcBorders>
              <w:top w:val="nil"/>
              <w:left w:val="nil"/>
              <w:bottom w:val="single" w:sz="4" w:space="0" w:color="auto"/>
              <w:right w:val="single" w:sz="4" w:space="0" w:color="auto"/>
            </w:tcBorders>
            <w:shd w:val="clear" w:color="000000" w:fill="FFFFFF"/>
            <w:vAlign w:val="bottom"/>
            <w:hideMark/>
          </w:tcPr>
          <w:p w14:paraId="1232B394"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l'Energie,  de l'Hydraulique et des Hydrocarbures </w:t>
            </w:r>
          </w:p>
        </w:tc>
        <w:tc>
          <w:tcPr>
            <w:tcW w:w="993" w:type="dxa"/>
            <w:tcBorders>
              <w:top w:val="nil"/>
              <w:left w:val="nil"/>
              <w:bottom w:val="single" w:sz="4" w:space="0" w:color="auto"/>
              <w:right w:val="single" w:sz="4" w:space="0" w:color="auto"/>
            </w:tcBorders>
            <w:shd w:val="clear" w:color="000000" w:fill="FFFFFF"/>
            <w:vAlign w:val="bottom"/>
            <w:hideMark/>
          </w:tcPr>
          <w:p w14:paraId="3E1FE9A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29</w:t>
            </w:r>
          </w:p>
        </w:tc>
        <w:tc>
          <w:tcPr>
            <w:tcW w:w="1417" w:type="dxa"/>
            <w:tcBorders>
              <w:top w:val="nil"/>
              <w:left w:val="nil"/>
              <w:bottom w:val="single" w:sz="4" w:space="0" w:color="auto"/>
              <w:right w:val="single" w:sz="4" w:space="0" w:color="auto"/>
            </w:tcBorders>
            <w:shd w:val="clear" w:color="000000" w:fill="FFFFFF"/>
            <w:vAlign w:val="bottom"/>
            <w:hideMark/>
          </w:tcPr>
          <w:p w14:paraId="695401B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264 628</w:t>
            </w:r>
          </w:p>
        </w:tc>
        <w:tc>
          <w:tcPr>
            <w:tcW w:w="1000" w:type="dxa"/>
            <w:tcBorders>
              <w:top w:val="nil"/>
              <w:left w:val="nil"/>
              <w:bottom w:val="single" w:sz="4" w:space="0" w:color="auto"/>
              <w:right w:val="single" w:sz="4" w:space="0" w:color="auto"/>
            </w:tcBorders>
            <w:shd w:val="clear" w:color="000000" w:fill="FFFFFF"/>
            <w:vAlign w:val="bottom"/>
            <w:hideMark/>
          </w:tcPr>
          <w:p w14:paraId="56D3877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916 652</w:t>
            </w:r>
          </w:p>
        </w:tc>
        <w:tc>
          <w:tcPr>
            <w:tcW w:w="1275" w:type="dxa"/>
            <w:tcBorders>
              <w:top w:val="nil"/>
              <w:left w:val="nil"/>
              <w:bottom w:val="single" w:sz="4" w:space="0" w:color="auto"/>
              <w:right w:val="single" w:sz="4" w:space="0" w:color="auto"/>
            </w:tcBorders>
            <w:shd w:val="clear" w:color="000000" w:fill="FFFFFF"/>
            <w:vAlign w:val="bottom"/>
            <w:hideMark/>
          </w:tcPr>
          <w:p w14:paraId="0C0128AB"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1 181 280</w:t>
            </w:r>
          </w:p>
        </w:tc>
      </w:tr>
      <w:tr w:rsidR="00632215" w:rsidRPr="00D265C5" w14:paraId="6D60C735"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472E75A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4</w:t>
            </w:r>
          </w:p>
        </w:tc>
        <w:tc>
          <w:tcPr>
            <w:tcW w:w="4569" w:type="dxa"/>
            <w:tcBorders>
              <w:top w:val="nil"/>
              <w:left w:val="nil"/>
              <w:bottom w:val="single" w:sz="4" w:space="0" w:color="auto"/>
              <w:right w:val="single" w:sz="4" w:space="0" w:color="auto"/>
            </w:tcBorders>
            <w:shd w:val="clear" w:color="000000" w:fill="FFFFFF"/>
            <w:vAlign w:val="bottom"/>
            <w:hideMark/>
          </w:tcPr>
          <w:p w14:paraId="5C63593C" w14:textId="797138CB"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w:t>
            </w:r>
            <w:r w:rsidR="00AD7D3B" w:rsidRPr="00D265C5">
              <w:rPr>
                <w:rFonts w:ascii="Times New Roman" w:eastAsia="Times New Roman" w:hAnsi="Times New Roman" w:cs="Times New Roman"/>
                <w:color w:val="000000" w:themeColor="text1"/>
                <w:sz w:val="20"/>
                <w:szCs w:val="20"/>
              </w:rPr>
              <w:t>Ministère</w:t>
            </w:r>
            <w:r w:rsidRPr="00D265C5">
              <w:rPr>
                <w:rFonts w:ascii="Times New Roman" w:eastAsia="Times New Roman" w:hAnsi="Times New Roman" w:cs="Times New Roman"/>
                <w:color w:val="000000" w:themeColor="text1"/>
                <w:sz w:val="20"/>
                <w:szCs w:val="20"/>
              </w:rPr>
              <w:t xml:space="preserve"> de l'Administration du territoire et de la </w:t>
            </w:r>
            <w:r w:rsidR="00AD7D3B" w:rsidRPr="00D265C5">
              <w:rPr>
                <w:rFonts w:ascii="Times New Roman" w:eastAsia="Times New Roman" w:hAnsi="Times New Roman" w:cs="Times New Roman"/>
                <w:color w:val="000000" w:themeColor="text1"/>
                <w:sz w:val="20"/>
                <w:szCs w:val="20"/>
              </w:rPr>
              <w:t>Décentralisation</w:t>
            </w:r>
            <w:r w:rsidRPr="00D265C5">
              <w:rPr>
                <w:rFonts w:ascii="Times New Roman" w:eastAsia="Times New Roman" w:hAnsi="Times New Roman" w:cs="Times New Roman"/>
                <w:color w:val="000000" w:themeColor="text1"/>
                <w:sz w:val="20"/>
                <w:szCs w:val="20"/>
              </w:rPr>
              <w:t xml:space="preserve">  </w:t>
            </w:r>
          </w:p>
        </w:tc>
        <w:tc>
          <w:tcPr>
            <w:tcW w:w="993" w:type="dxa"/>
            <w:tcBorders>
              <w:top w:val="nil"/>
              <w:left w:val="nil"/>
              <w:bottom w:val="single" w:sz="4" w:space="0" w:color="auto"/>
              <w:right w:val="single" w:sz="4" w:space="0" w:color="auto"/>
            </w:tcBorders>
            <w:shd w:val="clear" w:color="000000" w:fill="FFFFFF"/>
            <w:vAlign w:val="bottom"/>
            <w:hideMark/>
          </w:tcPr>
          <w:p w14:paraId="6A63320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w:t>
            </w:r>
          </w:p>
        </w:tc>
        <w:tc>
          <w:tcPr>
            <w:tcW w:w="1417" w:type="dxa"/>
            <w:tcBorders>
              <w:top w:val="nil"/>
              <w:left w:val="nil"/>
              <w:bottom w:val="single" w:sz="4" w:space="0" w:color="auto"/>
              <w:right w:val="single" w:sz="4" w:space="0" w:color="auto"/>
            </w:tcBorders>
            <w:shd w:val="clear" w:color="000000" w:fill="FFFFFF"/>
            <w:vAlign w:val="bottom"/>
            <w:hideMark/>
          </w:tcPr>
          <w:p w14:paraId="7A83319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813 522</w:t>
            </w:r>
          </w:p>
        </w:tc>
        <w:tc>
          <w:tcPr>
            <w:tcW w:w="1000" w:type="dxa"/>
            <w:tcBorders>
              <w:top w:val="nil"/>
              <w:left w:val="nil"/>
              <w:bottom w:val="single" w:sz="4" w:space="0" w:color="auto"/>
              <w:right w:val="single" w:sz="4" w:space="0" w:color="auto"/>
            </w:tcBorders>
            <w:shd w:val="clear" w:color="000000" w:fill="FFFFFF"/>
            <w:vAlign w:val="bottom"/>
            <w:hideMark/>
          </w:tcPr>
          <w:p w14:paraId="1611B7F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305 353</w:t>
            </w:r>
          </w:p>
        </w:tc>
        <w:tc>
          <w:tcPr>
            <w:tcW w:w="1275" w:type="dxa"/>
            <w:tcBorders>
              <w:top w:val="nil"/>
              <w:left w:val="nil"/>
              <w:bottom w:val="single" w:sz="4" w:space="0" w:color="auto"/>
              <w:right w:val="single" w:sz="4" w:space="0" w:color="auto"/>
            </w:tcBorders>
            <w:shd w:val="clear" w:color="000000" w:fill="FFFFFF"/>
            <w:vAlign w:val="bottom"/>
            <w:hideMark/>
          </w:tcPr>
          <w:p w14:paraId="40CC0175"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1 118 875</w:t>
            </w:r>
          </w:p>
        </w:tc>
      </w:tr>
      <w:tr w:rsidR="00632215" w:rsidRPr="00D265C5" w14:paraId="03C03776" w14:textId="77777777" w:rsidTr="00A9745C">
        <w:trPr>
          <w:trHeight w:val="232"/>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4C7371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5</w:t>
            </w:r>
          </w:p>
        </w:tc>
        <w:tc>
          <w:tcPr>
            <w:tcW w:w="4569" w:type="dxa"/>
            <w:tcBorders>
              <w:top w:val="nil"/>
              <w:left w:val="nil"/>
              <w:bottom w:val="single" w:sz="4" w:space="0" w:color="auto"/>
              <w:right w:val="single" w:sz="4" w:space="0" w:color="auto"/>
            </w:tcBorders>
            <w:shd w:val="clear" w:color="000000" w:fill="FFFFFF"/>
            <w:vAlign w:val="bottom"/>
            <w:hideMark/>
          </w:tcPr>
          <w:p w14:paraId="59982F90"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l'Enseignement Supérieur, de la Recherche Scientifique et de l'Innovation </w:t>
            </w:r>
          </w:p>
        </w:tc>
        <w:tc>
          <w:tcPr>
            <w:tcW w:w="993" w:type="dxa"/>
            <w:tcBorders>
              <w:top w:val="nil"/>
              <w:left w:val="nil"/>
              <w:bottom w:val="single" w:sz="4" w:space="0" w:color="auto"/>
              <w:right w:val="single" w:sz="4" w:space="0" w:color="auto"/>
            </w:tcBorders>
            <w:shd w:val="clear" w:color="000000" w:fill="FFFFFF"/>
            <w:vAlign w:val="bottom"/>
            <w:hideMark/>
          </w:tcPr>
          <w:p w14:paraId="3E657D7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bottom"/>
            <w:hideMark/>
          </w:tcPr>
          <w:p w14:paraId="568BAD2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150 917</w:t>
            </w:r>
          </w:p>
        </w:tc>
        <w:tc>
          <w:tcPr>
            <w:tcW w:w="1000" w:type="dxa"/>
            <w:tcBorders>
              <w:top w:val="nil"/>
              <w:left w:val="nil"/>
              <w:bottom w:val="single" w:sz="4" w:space="0" w:color="auto"/>
              <w:right w:val="single" w:sz="4" w:space="0" w:color="auto"/>
            </w:tcBorders>
            <w:shd w:val="clear" w:color="000000" w:fill="FFFFFF"/>
            <w:vAlign w:val="bottom"/>
            <w:hideMark/>
          </w:tcPr>
          <w:p w14:paraId="477F7AD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962 000</w:t>
            </w:r>
          </w:p>
        </w:tc>
        <w:tc>
          <w:tcPr>
            <w:tcW w:w="1275" w:type="dxa"/>
            <w:tcBorders>
              <w:top w:val="nil"/>
              <w:left w:val="nil"/>
              <w:bottom w:val="single" w:sz="4" w:space="0" w:color="auto"/>
              <w:right w:val="single" w:sz="4" w:space="0" w:color="auto"/>
            </w:tcBorders>
            <w:shd w:val="clear" w:color="000000" w:fill="FFFFFF"/>
            <w:vAlign w:val="bottom"/>
            <w:hideMark/>
          </w:tcPr>
          <w:p w14:paraId="0098DF6E"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1 112 917</w:t>
            </w:r>
          </w:p>
        </w:tc>
      </w:tr>
      <w:tr w:rsidR="00632215" w:rsidRPr="00D265C5" w14:paraId="3B9AC86B" w14:textId="77777777" w:rsidTr="00A9745C">
        <w:trPr>
          <w:trHeight w:val="3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001C5BB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w:t>
            </w:r>
          </w:p>
        </w:tc>
        <w:tc>
          <w:tcPr>
            <w:tcW w:w="4569" w:type="dxa"/>
            <w:tcBorders>
              <w:top w:val="nil"/>
              <w:left w:val="nil"/>
              <w:bottom w:val="single" w:sz="4" w:space="0" w:color="auto"/>
              <w:right w:val="single" w:sz="4" w:space="0" w:color="auto"/>
            </w:tcBorders>
            <w:shd w:val="clear" w:color="000000" w:fill="FFFFFF"/>
            <w:vAlign w:val="bottom"/>
            <w:hideMark/>
          </w:tcPr>
          <w:p w14:paraId="5AF698FB"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 Santé et de l'Hygiène Publique </w:t>
            </w:r>
          </w:p>
        </w:tc>
        <w:tc>
          <w:tcPr>
            <w:tcW w:w="993" w:type="dxa"/>
            <w:tcBorders>
              <w:top w:val="nil"/>
              <w:left w:val="nil"/>
              <w:bottom w:val="single" w:sz="4" w:space="0" w:color="auto"/>
              <w:right w:val="single" w:sz="4" w:space="0" w:color="auto"/>
            </w:tcBorders>
            <w:shd w:val="clear" w:color="000000" w:fill="FFFFFF"/>
            <w:vAlign w:val="bottom"/>
            <w:hideMark/>
          </w:tcPr>
          <w:p w14:paraId="4157C38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11</w:t>
            </w:r>
          </w:p>
        </w:tc>
        <w:tc>
          <w:tcPr>
            <w:tcW w:w="1417" w:type="dxa"/>
            <w:tcBorders>
              <w:top w:val="nil"/>
              <w:left w:val="nil"/>
              <w:bottom w:val="single" w:sz="4" w:space="0" w:color="auto"/>
              <w:right w:val="single" w:sz="4" w:space="0" w:color="auto"/>
            </w:tcBorders>
            <w:shd w:val="clear" w:color="000000" w:fill="FFFFFF"/>
            <w:vAlign w:val="bottom"/>
            <w:hideMark/>
          </w:tcPr>
          <w:p w14:paraId="5EF50FD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311 124</w:t>
            </w:r>
          </w:p>
        </w:tc>
        <w:tc>
          <w:tcPr>
            <w:tcW w:w="1000" w:type="dxa"/>
            <w:tcBorders>
              <w:top w:val="nil"/>
              <w:left w:val="nil"/>
              <w:bottom w:val="single" w:sz="4" w:space="0" w:color="auto"/>
              <w:right w:val="single" w:sz="4" w:space="0" w:color="auto"/>
            </w:tcBorders>
            <w:shd w:val="clear" w:color="000000" w:fill="FFFFFF"/>
            <w:vAlign w:val="bottom"/>
            <w:hideMark/>
          </w:tcPr>
          <w:p w14:paraId="7A6DD0B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768 559</w:t>
            </w:r>
          </w:p>
        </w:tc>
        <w:tc>
          <w:tcPr>
            <w:tcW w:w="1275" w:type="dxa"/>
            <w:tcBorders>
              <w:top w:val="nil"/>
              <w:left w:val="nil"/>
              <w:bottom w:val="single" w:sz="4" w:space="0" w:color="auto"/>
              <w:right w:val="single" w:sz="4" w:space="0" w:color="auto"/>
            </w:tcBorders>
            <w:shd w:val="clear" w:color="000000" w:fill="FFFFFF"/>
            <w:vAlign w:val="bottom"/>
            <w:hideMark/>
          </w:tcPr>
          <w:p w14:paraId="61EC26D6"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1 079 683</w:t>
            </w:r>
          </w:p>
        </w:tc>
      </w:tr>
      <w:tr w:rsidR="00632215" w:rsidRPr="00D265C5" w14:paraId="32862067"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C07813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w:t>
            </w:r>
          </w:p>
        </w:tc>
        <w:tc>
          <w:tcPr>
            <w:tcW w:w="4569" w:type="dxa"/>
            <w:tcBorders>
              <w:top w:val="nil"/>
              <w:left w:val="nil"/>
              <w:bottom w:val="single" w:sz="4" w:space="0" w:color="auto"/>
              <w:right w:val="single" w:sz="4" w:space="0" w:color="auto"/>
            </w:tcBorders>
            <w:shd w:val="clear" w:color="000000" w:fill="FFFFFF"/>
            <w:vAlign w:val="bottom"/>
            <w:hideMark/>
          </w:tcPr>
          <w:p w14:paraId="06F42A38"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l'Urbanisme, de l'Habitat et de l'Aménagement du Territoire </w:t>
            </w:r>
          </w:p>
        </w:tc>
        <w:tc>
          <w:tcPr>
            <w:tcW w:w="993" w:type="dxa"/>
            <w:tcBorders>
              <w:top w:val="nil"/>
              <w:left w:val="nil"/>
              <w:bottom w:val="single" w:sz="4" w:space="0" w:color="auto"/>
              <w:right w:val="single" w:sz="4" w:space="0" w:color="auto"/>
            </w:tcBorders>
            <w:shd w:val="clear" w:color="000000" w:fill="FFFFFF"/>
            <w:vAlign w:val="bottom"/>
            <w:hideMark/>
          </w:tcPr>
          <w:p w14:paraId="60044BA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14</w:t>
            </w:r>
          </w:p>
        </w:tc>
        <w:tc>
          <w:tcPr>
            <w:tcW w:w="1417" w:type="dxa"/>
            <w:tcBorders>
              <w:top w:val="nil"/>
              <w:left w:val="nil"/>
              <w:bottom w:val="single" w:sz="4" w:space="0" w:color="auto"/>
              <w:right w:val="single" w:sz="4" w:space="0" w:color="auto"/>
            </w:tcBorders>
            <w:shd w:val="clear" w:color="000000" w:fill="FFFFFF"/>
            <w:vAlign w:val="bottom"/>
            <w:hideMark/>
          </w:tcPr>
          <w:p w14:paraId="1FD7576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163 500</w:t>
            </w:r>
          </w:p>
        </w:tc>
        <w:tc>
          <w:tcPr>
            <w:tcW w:w="1000" w:type="dxa"/>
            <w:tcBorders>
              <w:top w:val="nil"/>
              <w:left w:val="nil"/>
              <w:bottom w:val="single" w:sz="4" w:space="0" w:color="auto"/>
              <w:right w:val="single" w:sz="4" w:space="0" w:color="auto"/>
            </w:tcBorders>
            <w:shd w:val="clear" w:color="000000" w:fill="FFFFFF"/>
            <w:vAlign w:val="bottom"/>
            <w:hideMark/>
          </w:tcPr>
          <w:p w14:paraId="2340EF6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447</w:t>
            </w:r>
            <w:r>
              <w:rPr>
                <w:rFonts w:ascii="Times New Roman" w:eastAsia="Times New Roman" w:hAnsi="Times New Roman" w:cs="Times New Roman"/>
                <w:color w:val="000000" w:themeColor="text1"/>
                <w:sz w:val="20"/>
                <w:szCs w:val="20"/>
              </w:rPr>
              <w:t> </w:t>
            </w:r>
            <w:r w:rsidRPr="00D265C5">
              <w:rPr>
                <w:rFonts w:ascii="Times New Roman" w:eastAsia="Times New Roman" w:hAnsi="Times New Roman" w:cs="Times New Roman"/>
                <w:color w:val="000000" w:themeColor="text1"/>
                <w:sz w:val="20"/>
                <w:szCs w:val="20"/>
              </w:rPr>
              <w:t>494</w:t>
            </w:r>
          </w:p>
        </w:tc>
        <w:tc>
          <w:tcPr>
            <w:tcW w:w="1275" w:type="dxa"/>
            <w:tcBorders>
              <w:top w:val="nil"/>
              <w:left w:val="nil"/>
              <w:bottom w:val="single" w:sz="4" w:space="0" w:color="auto"/>
              <w:right w:val="single" w:sz="4" w:space="0" w:color="auto"/>
            </w:tcBorders>
            <w:shd w:val="clear" w:color="000000" w:fill="FFFFFF"/>
            <w:vAlign w:val="bottom"/>
            <w:hideMark/>
          </w:tcPr>
          <w:p w14:paraId="0D2DD662"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610 994</w:t>
            </w:r>
          </w:p>
        </w:tc>
      </w:tr>
      <w:tr w:rsidR="00632215" w:rsidRPr="00D265C5" w14:paraId="7D98FBBC"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5E95EF1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w:t>
            </w:r>
          </w:p>
        </w:tc>
        <w:tc>
          <w:tcPr>
            <w:tcW w:w="4569" w:type="dxa"/>
            <w:tcBorders>
              <w:top w:val="nil"/>
              <w:left w:val="nil"/>
              <w:bottom w:val="single" w:sz="4" w:space="0" w:color="auto"/>
              <w:right w:val="single" w:sz="4" w:space="0" w:color="auto"/>
            </w:tcBorders>
            <w:shd w:val="clear" w:color="000000" w:fill="FFFFFF"/>
            <w:vAlign w:val="bottom"/>
            <w:hideMark/>
          </w:tcPr>
          <w:p w14:paraId="39029090"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l'Enseignement Technique et de la Formation Professionnelle </w:t>
            </w:r>
          </w:p>
        </w:tc>
        <w:tc>
          <w:tcPr>
            <w:tcW w:w="993" w:type="dxa"/>
            <w:tcBorders>
              <w:top w:val="nil"/>
              <w:left w:val="nil"/>
              <w:bottom w:val="single" w:sz="4" w:space="0" w:color="auto"/>
              <w:right w:val="single" w:sz="4" w:space="0" w:color="auto"/>
            </w:tcBorders>
            <w:shd w:val="clear" w:color="000000" w:fill="FFFFFF"/>
            <w:vAlign w:val="bottom"/>
            <w:hideMark/>
          </w:tcPr>
          <w:p w14:paraId="3270AF2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w:t>
            </w:r>
          </w:p>
        </w:tc>
        <w:tc>
          <w:tcPr>
            <w:tcW w:w="1417" w:type="dxa"/>
            <w:tcBorders>
              <w:top w:val="nil"/>
              <w:left w:val="nil"/>
              <w:bottom w:val="single" w:sz="4" w:space="0" w:color="auto"/>
              <w:right w:val="single" w:sz="4" w:space="0" w:color="auto"/>
            </w:tcBorders>
            <w:shd w:val="clear" w:color="000000" w:fill="FFFFFF"/>
            <w:vAlign w:val="bottom"/>
            <w:hideMark/>
          </w:tcPr>
          <w:p w14:paraId="27FCC9B5"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93 366</w:t>
            </w:r>
          </w:p>
        </w:tc>
        <w:tc>
          <w:tcPr>
            <w:tcW w:w="1000" w:type="dxa"/>
            <w:tcBorders>
              <w:top w:val="nil"/>
              <w:left w:val="nil"/>
              <w:bottom w:val="single" w:sz="4" w:space="0" w:color="auto"/>
              <w:right w:val="single" w:sz="4" w:space="0" w:color="auto"/>
            </w:tcBorders>
            <w:shd w:val="clear" w:color="000000" w:fill="FFFFFF"/>
            <w:vAlign w:val="bottom"/>
            <w:hideMark/>
          </w:tcPr>
          <w:p w14:paraId="27D2EA5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438 159</w:t>
            </w:r>
          </w:p>
        </w:tc>
        <w:tc>
          <w:tcPr>
            <w:tcW w:w="1275" w:type="dxa"/>
            <w:tcBorders>
              <w:top w:val="nil"/>
              <w:left w:val="nil"/>
              <w:bottom w:val="single" w:sz="4" w:space="0" w:color="auto"/>
              <w:right w:val="single" w:sz="4" w:space="0" w:color="auto"/>
            </w:tcBorders>
            <w:shd w:val="clear" w:color="000000" w:fill="FFFFFF"/>
            <w:vAlign w:val="bottom"/>
            <w:hideMark/>
          </w:tcPr>
          <w:p w14:paraId="6175C1CF"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531 526</w:t>
            </w:r>
          </w:p>
        </w:tc>
      </w:tr>
      <w:tr w:rsidR="00632215" w:rsidRPr="00D265C5" w14:paraId="44024D5E" w14:textId="77777777" w:rsidTr="00A9745C">
        <w:trPr>
          <w:trHeight w:val="38"/>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70FE5DD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w:t>
            </w:r>
          </w:p>
        </w:tc>
        <w:tc>
          <w:tcPr>
            <w:tcW w:w="4569" w:type="dxa"/>
            <w:tcBorders>
              <w:top w:val="nil"/>
              <w:left w:val="nil"/>
              <w:bottom w:val="single" w:sz="4" w:space="0" w:color="auto"/>
              <w:right w:val="single" w:sz="4" w:space="0" w:color="auto"/>
            </w:tcBorders>
            <w:shd w:val="clear" w:color="000000" w:fill="FFFFFF"/>
            <w:vAlign w:val="bottom"/>
            <w:hideMark/>
          </w:tcPr>
          <w:p w14:paraId="69622B4F"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Présidence de la République </w:t>
            </w:r>
          </w:p>
        </w:tc>
        <w:tc>
          <w:tcPr>
            <w:tcW w:w="993" w:type="dxa"/>
            <w:tcBorders>
              <w:top w:val="nil"/>
              <w:left w:val="nil"/>
              <w:bottom w:val="single" w:sz="4" w:space="0" w:color="auto"/>
              <w:right w:val="single" w:sz="4" w:space="0" w:color="auto"/>
            </w:tcBorders>
            <w:shd w:val="clear" w:color="000000" w:fill="FFFFFF"/>
            <w:vAlign w:val="bottom"/>
            <w:hideMark/>
          </w:tcPr>
          <w:p w14:paraId="762476C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bottom"/>
            <w:hideMark/>
          </w:tcPr>
          <w:p w14:paraId="6FEE6F0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70 954</w:t>
            </w:r>
          </w:p>
        </w:tc>
        <w:tc>
          <w:tcPr>
            <w:tcW w:w="1000" w:type="dxa"/>
            <w:tcBorders>
              <w:top w:val="nil"/>
              <w:left w:val="nil"/>
              <w:bottom w:val="single" w:sz="4" w:space="0" w:color="auto"/>
              <w:right w:val="single" w:sz="4" w:space="0" w:color="auto"/>
            </w:tcBorders>
            <w:shd w:val="clear" w:color="000000" w:fill="FFFFFF"/>
            <w:vAlign w:val="bottom"/>
            <w:hideMark/>
          </w:tcPr>
          <w:p w14:paraId="2926A11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388 007</w:t>
            </w:r>
          </w:p>
        </w:tc>
        <w:tc>
          <w:tcPr>
            <w:tcW w:w="1275" w:type="dxa"/>
            <w:tcBorders>
              <w:top w:val="nil"/>
              <w:left w:val="nil"/>
              <w:bottom w:val="single" w:sz="4" w:space="0" w:color="auto"/>
              <w:right w:val="single" w:sz="4" w:space="0" w:color="auto"/>
            </w:tcBorders>
            <w:shd w:val="clear" w:color="000000" w:fill="FFFFFF"/>
            <w:vAlign w:val="bottom"/>
            <w:hideMark/>
          </w:tcPr>
          <w:p w14:paraId="49FE835C"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458 961</w:t>
            </w:r>
          </w:p>
        </w:tc>
      </w:tr>
      <w:tr w:rsidR="00632215" w:rsidRPr="00D265C5" w14:paraId="4283317F"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275EED0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10</w:t>
            </w:r>
          </w:p>
        </w:tc>
        <w:tc>
          <w:tcPr>
            <w:tcW w:w="4569" w:type="dxa"/>
            <w:tcBorders>
              <w:top w:val="nil"/>
              <w:left w:val="nil"/>
              <w:bottom w:val="single" w:sz="4" w:space="0" w:color="auto"/>
              <w:right w:val="single" w:sz="4" w:space="0" w:color="auto"/>
            </w:tcBorders>
            <w:shd w:val="clear" w:color="000000" w:fill="FFFFFF"/>
            <w:vAlign w:val="bottom"/>
            <w:hideMark/>
          </w:tcPr>
          <w:p w14:paraId="7FB83C98"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Délégué à la Présidence Chargé de la Défense Nationale </w:t>
            </w:r>
          </w:p>
        </w:tc>
        <w:tc>
          <w:tcPr>
            <w:tcW w:w="993" w:type="dxa"/>
            <w:tcBorders>
              <w:top w:val="nil"/>
              <w:left w:val="nil"/>
              <w:bottom w:val="single" w:sz="4" w:space="0" w:color="auto"/>
              <w:right w:val="single" w:sz="4" w:space="0" w:color="auto"/>
            </w:tcBorders>
            <w:shd w:val="clear" w:color="000000" w:fill="FFFFFF"/>
            <w:vAlign w:val="bottom"/>
            <w:hideMark/>
          </w:tcPr>
          <w:p w14:paraId="59F99A9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w:t>
            </w:r>
          </w:p>
        </w:tc>
        <w:tc>
          <w:tcPr>
            <w:tcW w:w="1417" w:type="dxa"/>
            <w:tcBorders>
              <w:top w:val="nil"/>
              <w:left w:val="nil"/>
              <w:bottom w:val="single" w:sz="4" w:space="0" w:color="auto"/>
              <w:right w:val="single" w:sz="4" w:space="0" w:color="auto"/>
            </w:tcBorders>
            <w:shd w:val="clear" w:color="000000" w:fill="FFFFFF"/>
            <w:vAlign w:val="bottom"/>
            <w:hideMark/>
          </w:tcPr>
          <w:p w14:paraId="57AD5B9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325 000</w:t>
            </w:r>
          </w:p>
        </w:tc>
        <w:tc>
          <w:tcPr>
            <w:tcW w:w="1000" w:type="dxa"/>
            <w:tcBorders>
              <w:top w:val="nil"/>
              <w:left w:val="nil"/>
              <w:bottom w:val="single" w:sz="4" w:space="0" w:color="auto"/>
              <w:right w:val="single" w:sz="4" w:space="0" w:color="auto"/>
            </w:tcBorders>
            <w:shd w:val="clear" w:color="000000" w:fill="FFFFFF"/>
            <w:vAlign w:val="bottom"/>
            <w:hideMark/>
          </w:tcPr>
          <w:p w14:paraId="309E9E0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5021FA11"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325 000</w:t>
            </w:r>
          </w:p>
        </w:tc>
      </w:tr>
      <w:tr w:rsidR="00632215" w:rsidRPr="00D265C5" w14:paraId="70A93D6C" w14:textId="77777777" w:rsidTr="00A9745C">
        <w:trPr>
          <w:trHeight w:val="177"/>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E0EAE6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lastRenderedPageBreak/>
              <w:t>11</w:t>
            </w:r>
          </w:p>
        </w:tc>
        <w:tc>
          <w:tcPr>
            <w:tcW w:w="4569" w:type="dxa"/>
            <w:tcBorders>
              <w:top w:val="nil"/>
              <w:left w:val="nil"/>
              <w:bottom w:val="single" w:sz="4" w:space="0" w:color="auto"/>
              <w:right w:val="single" w:sz="4" w:space="0" w:color="auto"/>
            </w:tcBorders>
            <w:shd w:val="clear" w:color="000000" w:fill="FFFFFF"/>
            <w:vAlign w:val="bottom"/>
            <w:hideMark/>
          </w:tcPr>
          <w:p w14:paraId="54447F87"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l'Enseignement Pré-Universitaire et de l'Alphabétisation </w:t>
            </w:r>
          </w:p>
        </w:tc>
        <w:tc>
          <w:tcPr>
            <w:tcW w:w="993" w:type="dxa"/>
            <w:tcBorders>
              <w:top w:val="nil"/>
              <w:left w:val="nil"/>
              <w:bottom w:val="single" w:sz="4" w:space="0" w:color="auto"/>
              <w:right w:val="single" w:sz="4" w:space="0" w:color="auto"/>
            </w:tcBorders>
            <w:shd w:val="clear" w:color="000000" w:fill="FFFFFF"/>
            <w:vAlign w:val="bottom"/>
            <w:hideMark/>
          </w:tcPr>
          <w:p w14:paraId="62DD320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10</w:t>
            </w:r>
          </w:p>
        </w:tc>
        <w:tc>
          <w:tcPr>
            <w:tcW w:w="1417" w:type="dxa"/>
            <w:tcBorders>
              <w:top w:val="nil"/>
              <w:left w:val="nil"/>
              <w:bottom w:val="single" w:sz="4" w:space="0" w:color="auto"/>
              <w:right w:val="single" w:sz="4" w:space="0" w:color="auto"/>
            </w:tcBorders>
            <w:shd w:val="clear" w:color="000000" w:fill="FFFFFF"/>
            <w:vAlign w:val="bottom"/>
            <w:hideMark/>
          </w:tcPr>
          <w:p w14:paraId="5AD574D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174 967</w:t>
            </w:r>
          </w:p>
        </w:tc>
        <w:tc>
          <w:tcPr>
            <w:tcW w:w="1000" w:type="dxa"/>
            <w:tcBorders>
              <w:top w:val="nil"/>
              <w:left w:val="nil"/>
              <w:bottom w:val="single" w:sz="4" w:space="0" w:color="auto"/>
              <w:right w:val="single" w:sz="4" w:space="0" w:color="auto"/>
            </w:tcBorders>
            <w:shd w:val="clear" w:color="000000" w:fill="FFFFFF"/>
            <w:vAlign w:val="bottom"/>
            <w:hideMark/>
          </w:tcPr>
          <w:p w14:paraId="49F103D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100 000</w:t>
            </w:r>
          </w:p>
        </w:tc>
        <w:tc>
          <w:tcPr>
            <w:tcW w:w="1275" w:type="dxa"/>
            <w:tcBorders>
              <w:top w:val="nil"/>
              <w:left w:val="nil"/>
              <w:bottom w:val="single" w:sz="4" w:space="0" w:color="auto"/>
              <w:right w:val="single" w:sz="4" w:space="0" w:color="auto"/>
            </w:tcBorders>
            <w:shd w:val="clear" w:color="000000" w:fill="FFFFFF"/>
            <w:vAlign w:val="bottom"/>
            <w:hideMark/>
          </w:tcPr>
          <w:p w14:paraId="3E2D7333"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274 967</w:t>
            </w:r>
          </w:p>
        </w:tc>
      </w:tr>
      <w:tr w:rsidR="00632215" w:rsidRPr="00D265C5" w14:paraId="6B03B029" w14:textId="77777777" w:rsidTr="00A9745C">
        <w:trPr>
          <w:trHeight w:val="14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27A6468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12</w:t>
            </w:r>
          </w:p>
        </w:tc>
        <w:tc>
          <w:tcPr>
            <w:tcW w:w="4569" w:type="dxa"/>
            <w:tcBorders>
              <w:top w:val="nil"/>
              <w:left w:val="nil"/>
              <w:bottom w:val="single" w:sz="4" w:space="0" w:color="auto"/>
              <w:right w:val="single" w:sz="4" w:space="0" w:color="auto"/>
            </w:tcBorders>
            <w:shd w:val="clear" w:color="000000" w:fill="FFFFFF"/>
            <w:vAlign w:val="bottom"/>
            <w:hideMark/>
          </w:tcPr>
          <w:p w14:paraId="30EC9145"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du Plan et de la Coopération Internationale </w:t>
            </w:r>
          </w:p>
        </w:tc>
        <w:tc>
          <w:tcPr>
            <w:tcW w:w="993" w:type="dxa"/>
            <w:tcBorders>
              <w:top w:val="nil"/>
              <w:left w:val="nil"/>
              <w:bottom w:val="single" w:sz="4" w:space="0" w:color="auto"/>
              <w:right w:val="single" w:sz="4" w:space="0" w:color="auto"/>
            </w:tcBorders>
            <w:shd w:val="clear" w:color="000000" w:fill="FFFFFF"/>
            <w:vAlign w:val="bottom"/>
            <w:hideMark/>
          </w:tcPr>
          <w:p w14:paraId="7E8DD0F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bottom"/>
            <w:hideMark/>
          </w:tcPr>
          <w:p w14:paraId="21959554"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70 075</w:t>
            </w:r>
          </w:p>
        </w:tc>
        <w:tc>
          <w:tcPr>
            <w:tcW w:w="1000" w:type="dxa"/>
            <w:tcBorders>
              <w:top w:val="nil"/>
              <w:left w:val="nil"/>
              <w:bottom w:val="single" w:sz="4" w:space="0" w:color="auto"/>
              <w:right w:val="single" w:sz="4" w:space="0" w:color="auto"/>
            </w:tcBorders>
            <w:shd w:val="clear" w:color="000000" w:fill="FFFFFF"/>
            <w:vAlign w:val="bottom"/>
            <w:hideMark/>
          </w:tcPr>
          <w:p w14:paraId="028E810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201 671</w:t>
            </w:r>
          </w:p>
        </w:tc>
        <w:tc>
          <w:tcPr>
            <w:tcW w:w="1275" w:type="dxa"/>
            <w:tcBorders>
              <w:top w:val="nil"/>
              <w:left w:val="nil"/>
              <w:bottom w:val="single" w:sz="4" w:space="0" w:color="auto"/>
              <w:right w:val="single" w:sz="4" w:space="0" w:color="auto"/>
            </w:tcBorders>
            <w:shd w:val="clear" w:color="000000" w:fill="FFFFFF"/>
            <w:vAlign w:val="bottom"/>
            <w:hideMark/>
          </w:tcPr>
          <w:p w14:paraId="2FF87DED"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271 746</w:t>
            </w:r>
          </w:p>
        </w:tc>
      </w:tr>
      <w:tr w:rsidR="00632215" w:rsidRPr="00D265C5" w14:paraId="619552AF" w14:textId="77777777" w:rsidTr="00A9745C">
        <w:trPr>
          <w:trHeight w:val="3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0789F52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13</w:t>
            </w:r>
          </w:p>
        </w:tc>
        <w:tc>
          <w:tcPr>
            <w:tcW w:w="4569" w:type="dxa"/>
            <w:tcBorders>
              <w:top w:val="nil"/>
              <w:left w:val="nil"/>
              <w:bottom w:val="single" w:sz="4" w:space="0" w:color="auto"/>
              <w:right w:val="single" w:sz="4" w:space="0" w:color="auto"/>
            </w:tcBorders>
            <w:shd w:val="clear" w:color="000000" w:fill="FFFFFF"/>
            <w:vAlign w:val="bottom"/>
            <w:hideMark/>
          </w:tcPr>
          <w:p w14:paraId="528FA8EC"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des Mines et de la Géologie</w:t>
            </w:r>
          </w:p>
        </w:tc>
        <w:tc>
          <w:tcPr>
            <w:tcW w:w="993" w:type="dxa"/>
            <w:tcBorders>
              <w:top w:val="nil"/>
              <w:left w:val="nil"/>
              <w:bottom w:val="single" w:sz="4" w:space="0" w:color="auto"/>
              <w:right w:val="single" w:sz="4" w:space="0" w:color="auto"/>
            </w:tcBorders>
            <w:shd w:val="clear" w:color="000000" w:fill="FFFFFF"/>
            <w:vAlign w:val="bottom"/>
            <w:hideMark/>
          </w:tcPr>
          <w:p w14:paraId="6C503CF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11</w:t>
            </w:r>
          </w:p>
        </w:tc>
        <w:tc>
          <w:tcPr>
            <w:tcW w:w="1417" w:type="dxa"/>
            <w:tcBorders>
              <w:top w:val="nil"/>
              <w:left w:val="nil"/>
              <w:bottom w:val="single" w:sz="4" w:space="0" w:color="auto"/>
              <w:right w:val="single" w:sz="4" w:space="0" w:color="auto"/>
            </w:tcBorders>
            <w:shd w:val="clear" w:color="000000" w:fill="FFFFFF"/>
            <w:vAlign w:val="bottom"/>
            <w:hideMark/>
          </w:tcPr>
          <w:p w14:paraId="5D3F209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193 525</w:t>
            </w:r>
          </w:p>
        </w:tc>
        <w:tc>
          <w:tcPr>
            <w:tcW w:w="1000" w:type="dxa"/>
            <w:tcBorders>
              <w:top w:val="nil"/>
              <w:left w:val="nil"/>
              <w:bottom w:val="single" w:sz="4" w:space="0" w:color="auto"/>
              <w:right w:val="single" w:sz="4" w:space="0" w:color="auto"/>
            </w:tcBorders>
            <w:shd w:val="clear" w:color="000000" w:fill="FFFFFF"/>
            <w:vAlign w:val="bottom"/>
            <w:hideMark/>
          </w:tcPr>
          <w:p w14:paraId="59D2843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73 000</w:t>
            </w:r>
          </w:p>
        </w:tc>
        <w:tc>
          <w:tcPr>
            <w:tcW w:w="1275" w:type="dxa"/>
            <w:tcBorders>
              <w:top w:val="nil"/>
              <w:left w:val="nil"/>
              <w:bottom w:val="single" w:sz="4" w:space="0" w:color="auto"/>
              <w:right w:val="single" w:sz="4" w:space="0" w:color="auto"/>
            </w:tcBorders>
            <w:shd w:val="clear" w:color="000000" w:fill="FFFFFF"/>
            <w:vAlign w:val="bottom"/>
            <w:hideMark/>
          </w:tcPr>
          <w:p w14:paraId="7C263A3E"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266 525</w:t>
            </w:r>
          </w:p>
        </w:tc>
      </w:tr>
      <w:tr w:rsidR="00632215" w:rsidRPr="00D265C5" w14:paraId="4AAE6B1F" w14:textId="77777777" w:rsidTr="006333C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891EEA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14</w:t>
            </w:r>
          </w:p>
        </w:tc>
        <w:tc>
          <w:tcPr>
            <w:tcW w:w="4569" w:type="dxa"/>
            <w:tcBorders>
              <w:top w:val="nil"/>
              <w:left w:val="nil"/>
              <w:bottom w:val="single" w:sz="4" w:space="0" w:color="auto"/>
              <w:right w:val="single" w:sz="4" w:space="0" w:color="auto"/>
            </w:tcBorders>
            <w:shd w:val="clear" w:color="000000" w:fill="FFFFFF"/>
            <w:vAlign w:val="bottom"/>
            <w:hideMark/>
          </w:tcPr>
          <w:p w14:paraId="517D1F6F"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du Commerce, de l'Industrie et des Petites et Moyennes Entreprises </w:t>
            </w:r>
          </w:p>
        </w:tc>
        <w:tc>
          <w:tcPr>
            <w:tcW w:w="993" w:type="dxa"/>
            <w:tcBorders>
              <w:top w:val="nil"/>
              <w:left w:val="nil"/>
              <w:bottom w:val="single" w:sz="4" w:space="0" w:color="auto"/>
              <w:right w:val="single" w:sz="4" w:space="0" w:color="auto"/>
            </w:tcBorders>
            <w:shd w:val="clear" w:color="000000" w:fill="FFFFFF"/>
            <w:vAlign w:val="bottom"/>
            <w:hideMark/>
          </w:tcPr>
          <w:p w14:paraId="482BC9F4"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11</w:t>
            </w:r>
          </w:p>
        </w:tc>
        <w:tc>
          <w:tcPr>
            <w:tcW w:w="1417" w:type="dxa"/>
            <w:tcBorders>
              <w:top w:val="nil"/>
              <w:left w:val="nil"/>
              <w:bottom w:val="single" w:sz="4" w:space="0" w:color="auto"/>
              <w:right w:val="single" w:sz="4" w:space="0" w:color="auto"/>
            </w:tcBorders>
            <w:shd w:val="clear" w:color="000000" w:fill="FFFFFF"/>
            <w:vAlign w:val="bottom"/>
            <w:hideMark/>
          </w:tcPr>
          <w:p w14:paraId="52EF6D4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69 632</w:t>
            </w:r>
          </w:p>
        </w:tc>
        <w:tc>
          <w:tcPr>
            <w:tcW w:w="1000" w:type="dxa"/>
            <w:tcBorders>
              <w:top w:val="nil"/>
              <w:left w:val="nil"/>
              <w:bottom w:val="single" w:sz="4" w:space="0" w:color="auto"/>
              <w:right w:val="single" w:sz="4" w:space="0" w:color="auto"/>
            </w:tcBorders>
            <w:shd w:val="clear" w:color="000000" w:fill="FFFFFF"/>
            <w:vAlign w:val="bottom"/>
            <w:hideMark/>
          </w:tcPr>
          <w:p w14:paraId="4641371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132 102</w:t>
            </w:r>
          </w:p>
        </w:tc>
        <w:tc>
          <w:tcPr>
            <w:tcW w:w="1275" w:type="dxa"/>
            <w:tcBorders>
              <w:top w:val="nil"/>
              <w:left w:val="nil"/>
              <w:bottom w:val="single" w:sz="4" w:space="0" w:color="auto"/>
              <w:right w:val="single" w:sz="4" w:space="0" w:color="auto"/>
            </w:tcBorders>
            <w:shd w:val="clear" w:color="000000" w:fill="FFFFFF"/>
            <w:vAlign w:val="bottom"/>
            <w:hideMark/>
          </w:tcPr>
          <w:p w14:paraId="4EEBE49E"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201 734</w:t>
            </w:r>
          </w:p>
        </w:tc>
      </w:tr>
      <w:tr w:rsidR="00632215" w:rsidRPr="00D265C5" w14:paraId="54E66FD9" w14:textId="77777777" w:rsidTr="006333CC">
        <w:trPr>
          <w:trHeight w:val="390"/>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0696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15</w:t>
            </w:r>
          </w:p>
        </w:tc>
        <w:tc>
          <w:tcPr>
            <w:tcW w:w="456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8E997"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 Promotion Féminine, de l'Enfance et des  Personnes Vulnérables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616C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4B0B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82 796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CA0A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95 583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BA21A"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178 380</w:t>
            </w:r>
          </w:p>
        </w:tc>
      </w:tr>
      <w:tr w:rsidR="00632215" w:rsidRPr="00D265C5" w14:paraId="1BF2F5F4" w14:textId="77777777" w:rsidTr="006333CC">
        <w:trPr>
          <w:trHeight w:val="95"/>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DCA3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16</w:t>
            </w:r>
          </w:p>
        </w:tc>
        <w:tc>
          <w:tcPr>
            <w:tcW w:w="4569" w:type="dxa"/>
            <w:tcBorders>
              <w:top w:val="single" w:sz="4" w:space="0" w:color="auto"/>
              <w:left w:val="nil"/>
              <w:bottom w:val="single" w:sz="4" w:space="0" w:color="auto"/>
              <w:right w:val="single" w:sz="4" w:space="0" w:color="auto"/>
            </w:tcBorders>
            <w:shd w:val="clear" w:color="000000" w:fill="FFFFFF"/>
            <w:vAlign w:val="bottom"/>
            <w:hideMark/>
          </w:tcPr>
          <w:p w14:paraId="54234AD7"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 Jeunesse et des Sports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8FAF00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7DD7E34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175 274</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E383D9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E9EC4DC"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175 274</w:t>
            </w:r>
          </w:p>
        </w:tc>
      </w:tr>
      <w:tr w:rsidR="00632215" w:rsidRPr="00D265C5" w14:paraId="623B4CC6" w14:textId="77777777" w:rsidTr="00A9745C">
        <w:trPr>
          <w:trHeight w:val="3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52D256C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17</w:t>
            </w:r>
          </w:p>
        </w:tc>
        <w:tc>
          <w:tcPr>
            <w:tcW w:w="4569" w:type="dxa"/>
            <w:tcBorders>
              <w:top w:val="nil"/>
              <w:left w:val="nil"/>
              <w:bottom w:val="single" w:sz="4" w:space="0" w:color="auto"/>
              <w:right w:val="single" w:sz="4" w:space="0" w:color="auto"/>
            </w:tcBorders>
            <w:shd w:val="clear" w:color="000000" w:fill="FFFFFF"/>
            <w:vAlign w:val="bottom"/>
            <w:hideMark/>
          </w:tcPr>
          <w:p w14:paraId="6A58C30C"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l'Economie et des Finances  </w:t>
            </w:r>
          </w:p>
        </w:tc>
        <w:tc>
          <w:tcPr>
            <w:tcW w:w="993" w:type="dxa"/>
            <w:tcBorders>
              <w:top w:val="nil"/>
              <w:left w:val="nil"/>
              <w:bottom w:val="single" w:sz="4" w:space="0" w:color="auto"/>
              <w:right w:val="single" w:sz="4" w:space="0" w:color="auto"/>
            </w:tcBorders>
            <w:shd w:val="clear" w:color="000000" w:fill="FFFFFF"/>
            <w:vAlign w:val="bottom"/>
            <w:hideMark/>
          </w:tcPr>
          <w:p w14:paraId="6A3F959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11</w:t>
            </w:r>
          </w:p>
        </w:tc>
        <w:tc>
          <w:tcPr>
            <w:tcW w:w="1417" w:type="dxa"/>
            <w:tcBorders>
              <w:top w:val="nil"/>
              <w:left w:val="nil"/>
              <w:bottom w:val="single" w:sz="4" w:space="0" w:color="auto"/>
              <w:right w:val="single" w:sz="4" w:space="0" w:color="auto"/>
            </w:tcBorders>
            <w:shd w:val="clear" w:color="000000" w:fill="FFFFFF"/>
            <w:vAlign w:val="bottom"/>
            <w:hideMark/>
          </w:tcPr>
          <w:p w14:paraId="245BF50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159 757</w:t>
            </w:r>
          </w:p>
        </w:tc>
        <w:tc>
          <w:tcPr>
            <w:tcW w:w="1000" w:type="dxa"/>
            <w:tcBorders>
              <w:top w:val="nil"/>
              <w:left w:val="nil"/>
              <w:bottom w:val="single" w:sz="4" w:space="0" w:color="auto"/>
              <w:right w:val="single" w:sz="4" w:space="0" w:color="auto"/>
            </w:tcBorders>
            <w:shd w:val="clear" w:color="000000" w:fill="FFFFFF"/>
            <w:vAlign w:val="bottom"/>
            <w:hideMark/>
          </w:tcPr>
          <w:p w14:paraId="76D45945"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9 499</w:t>
            </w:r>
          </w:p>
        </w:tc>
        <w:tc>
          <w:tcPr>
            <w:tcW w:w="1275" w:type="dxa"/>
            <w:tcBorders>
              <w:top w:val="nil"/>
              <w:left w:val="nil"/>
              <w:bottom w:val="single" w:sz="4" w:space="0" w:color="auto"/>
              <w:right w:val="single" w:sz="4" w:space="0" w:color="auto"/>
            </w:tcBorders>
            <w:shd w:val="clear" w:color="000000" w:fill="FFFFFF"/>
            <w:vAlign w:val="bottom"/>
            <w:hideMark/>
          </w:tcPr>
          <w:p w14:paraId="4B71A7B3"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169 256</w:t>
            </w:r>
          </w:p>
        </w:tc>
      </w:tr>
      <w:tr w:rsidR="00632215" w:rsidRPr="00D265C5" w14:paraId="50DBEBFF" w14:textId="77777777" w:rsidTr="00A9745C">
        <w:trPr>
          <w:trHeight w:val="35"/>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D447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18</w:t>
            </w:r>
          </w:p>
        </w:tc>
        <w:tc>
          <w:tcPr>
            <w:tcW w:w="456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8385C"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l'Information et de la Communication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704E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4DA55"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89 505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8A76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72 739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9E610"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162 244</w:t>
            </w:r>
          </w:p>
        </w:tc>
      </w:tr>
      <w:tr w:rsidR="00632215" w:rsidRPr="00D265C5" w14:paraId="22BB26F7" w14:textId="77777777" w:rsidTr="00A9745C">
        <w:trPr>
          <w:trHeight w:val="390"/>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97CF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19</w:t>
            </w:r>
          </w:p>
        </w:tc>
        <w:tc>
          <w:tcPr>
            <w:tcW w:w="456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BD5B7"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Garde des Sceaux, Ministère de la Justice et  des droits de l'homme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299F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A1D7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143 295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9D5B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8CC1C"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143 295</w:t>
            </w:r>
          </w:p>
        </w:tc>
      </w:tr>
      <w:tr w:rsidR="00632215" w:rsidRPr="00D265C5" w14:paraId="108A04F8" w14:textId="77777777" w:rsidTr="00A9745C">
        <w:trPr>
          <w:trHeight w:val="133"/>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28E94"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20</w:t>
            </w:r>
          </w:p>
        </w:tc>
        <w:tc>
          <w:tcPr>
            <w:tcW w:w="4569" w:type="dxa"/>
            <w:tcBorders>
              <w:top w:val="single" w:sz="4" w:space="0" w:color="auto"/>
              <w:left w:val="nil"/>
              <w:bottom w:val="single" w:sz="4" w:space="0" w:color="auto"/>
              <w:right w:val="single" w:sz="4" w:space="0" w:color="auto"/>
            </w:tcBorders>
            <w:shd w:val="clear" w:color="000000" w:fill="FFFFFF"/>
            <w:vAlign w:val="bottom"/>
            <w:hideMark/>
          </w:tcPr>
          <w:p w14:paraId="28B463C3"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 Culture, du Tourisme et de l'Artisanat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B63F8D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354D727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139 487</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772DC73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329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2415C98"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139 817</w:t>
            </w:r>
          </w:p>
        </w:tc>
      </w:tr>
      <w:tr w:rsidR="00632215" w:rsidRPr="00D265C5" w14:paraId="1333ACB0" w14:textId="77777777" w:rsidTr="00A9745C">
        <w:trPr>
          <w:trHeight w:val="86"/>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ED581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21</w:t>
            </w:r>
          </w:p>
        </w:tc>
        <w:tc>
          <w:tcPr>
            <w:tcW w:w="456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93476"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du Budget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E5EF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F251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136 943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ED5F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46E2E"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136 943</w:t>
            </w:r>
          </w:p>
        </w:tc>
      </w:tr>
      <w:tr w:rsidR="00632215" w:rsidRPr="00D265C5" w14:paraId="73FA72FD" w14:textId="77777777" w:rsidTr="00A9745C">
        <w:trPr>
          <w:trHeight w:val="133"/>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4847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22</w:t>
            </w:r>
          </w:p>
        </w:tc>
        <w:tc>
          <w:tcPr>
            <w:tcW w:w="4569" w:type="dxa"/>
            <w:tcBorders>
              <w:top w:val="single" w:sz="4" w:space="0" w:color="auto"/>
              <w:left w:val="nil"/>
              <w:bottom w:val="single" w:sz="4" w:space="0" w:color="auto"/>
              <w:right w:val="single" w:sz="4" w:space="0" w:color="auto"/>
            </w:tcBorders>
            <w:shd w:val="clear" w:color="000000" w:fill="FFFFFF"/>
            <w:vAlign w:val="bottom"/>
            <w:hideMark/>
          </w:tcPr>
          <w:p w14:paraId="510AFA0F"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Primature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D28051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73571B1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53 763</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FB6365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66 040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C5069DF"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119 803</w:t>
            </w:r>
          </w:p>
        </w:tc>
      </w:tr>
      <w:tr w:rsidR="00632215" w:rsidRPr="00D265C5" w14:paraId="409D8AFC"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6A1A521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23</w:t>
            </w:r>
          </w:p>
        </w:tc>
        <w:tc>
          <w:tcPr>
            <w:tcW w:w="4569" w:type="dxa"/>
            <w:tcBorders>
              <w:top w:val="nil"/>
              <w:left w:val="nil"/>
              <w:bottom w:val="single" w:sz="4" w:space="0" w:color="auto"/>
              <w:right w:val="single" w:sz="4" w:space="0" w:color="auto"/>
            </w:tcBorders>
            <w:shd w:val="clear" w:color="000000" w:fill="FFFFFF"/>
            <w:vAlign w:val="bottom"/>
            <w:hideMark/>
          </w:tcPr>
          <w:p w14:paraId="0ECC11B4"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des Postes, des Télécommunications et de l'Economie Numérique </w:t>
            </w:r>
          </w:p>
        </w:tc>
        <w:tc>
          <w:tcPr>
            <w:tcW w:w="993" w:type="dxa"/>
            <w:tcBorders>
              <w:top w:val="nil"/>
              <w:left w:val="nil"/>
              <w:bottom w:val="single" w:sz="4" w:space="0" w:color="auto"/>
              <w:right w:val="single" w:sz="4" w:space="0" w:color="auto"/>
            </w:tcBorders>
            <w:shd w:val="clear" w:color="000000" w:fill="FFFFFF"/>
            <w:vAlign w:val="bottom"/>
            <w:hideMark/>
          </w:tcPr>
          <w:p w14:paraId="45CFD59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10</w:t>
            </w:r>
          </w:p>
        </w:tc>
        <w:tc>
          <w:tcPr>
            <w:tcW w:w="1417" w:type="dxa"/>
            <w:tcBorders>
              <w:top w:val="nil"/>
              <w:left w:val="nil"/>
              <w:bottom w:val="single" w:sz="4" w:space="0" w:color="auto"/>
              <w:right w:val="single" w:sz="4" w:space="0" w:color="auto"/>
            </w:tcBorders>
            <w:shd w:val="clear" w:color="000000" w:fill="FFFFFF"/>
            <w:vAlign w:val="bottom"/>
            <w:hideMark/>
          </w:tcPr>
          <w:p w14:paraId="514212B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112 339</w:t>
            </w:r>
          </w:p>
        </w:tc>
        <w:tc>
          <w:tcPr>
            <w:tcW w:w="1000" w:type="dxa"/>
            <w:tcBorders>
              <w:top w:val="nil"/>
              <w:left w:val="nil"/>
              <w:bottom w:val="single" w:sz="4" w:space="0" w:color="auto"/>
              <w:right w:val="single" w:sz="4" w:space="0" w:color="auto"/>
            </w:tcBorders>
            <w:shd w:val="clear" w:color="000000" w:fill="FFFFFF"/>
            <w:vAlign w:val="bottom"/>
            <w:hideMark/>
          </w:tcPr>
          <w:p w14:paraId="6ED3EE6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536E1161"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112 339</w:t>
            </w:r>
          </w:p>
        </w:tc>
      </w:tr>
      <w:tr w:rsidR="00632215" w:rsidRPr="00D265C5" w14:paraId="218BBC04" w14:textId="77777777" w:rsidTr="00A9745C">
        <w:trPr>
          <w:trHeight w:val="3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76E9A9B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24</w:t>
            </w:r>
          </w:p>
        </w:tc>
        <w:tc>
          <w:tcPr>
            <w:tcW w:w="4569" w:type="dxa"/>
            <w:tcBorders>
              <w:top w:val="nil"/>
              <w:left w:val="nil"/>
              <w:bottom w:val="single" w:sz="4" w:space="0" w:color="auto"/>
              <w:right w:val="single" w:sz="4" w:space="0" w:color="auto"/>
            </w:tcBorders>
            <w:shd w:val="clear" w:color="000000" w:fill="FFFFFF"/>
            <w:vAlign w:val="bottom"/>
            <w:hideMark/>
          </w:tcPr>
          <w:p w14:paraId="7D215002"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du Travail et de la Fonction Publique </w:t>
            </w:r>
          </w:p>
        </w:tc>
        <w:tc>
          <w:tcPr>
            <w:tcW w:w="993" w:type="dxa"/>
            <w:tcBorders>
              <w:top w:val="nil"/>
              <w:left w:val="nil"/>
              <w:bottom w:val="single" w:sz="4" w:space="0" w:color="auto"/>
              <w:right w:val="single" w:sz="4" w:space="0" w:color="auto"/>
            </w:tcBorders>
            <w:shd w:val="clear" w:color="000000" w:fill="FFFFFF"/>
            <w:vAlign w:val="bottom"/>
            <w:hideMark/>
          </w:tcPr>
          <w:p w14:paraId="02075E4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w:t>
            </w:r>
          </w:p>
        </w:tc>
        <w:tc>
          <w:tcPr>
            <w:tcW w:w="1417" w:type="dxa"/>
            <w:tcBorders>
              <w:top w:val="nil"/>
              <w:left w:val="nil"/>
              <w:bottom w:val="single" w:sz="4" w:space="0" w:color="auto"/>
              <w:right w:val="single" w:sz="4" w:space="0" w:color="auto"/>
            </w:tcBorders>
            <w:shd w:val="clear" w:color="000000" w:fill="FFFFFF"/>
            <w:vAlign w:val="bottom"/>
            <w:hideMark/>
          </w:tcPr>
          <w:p w14:paraId="6FB8A5E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88 313</w:t>
            </w:r>
          </w:p>
        </w:tc>
        <w:tc>
          <w:tcPr>
            <w:tcW w:w="1000" w:type="dxa"/>
            <w:tcBorders>
              <w:top w:val="nil"/>
              <w:left w:val="nil"/>
              <w:bottom w:val="single" w:sz="4" w:space="0" w:color="auto"/>
              <w:right w:val="single" w:sz="4" w:space="0" w:color="auto"/>
            </w:tcBorders>
            <w:shd w:val="clear" w:color="000000" w:fill="FFFFFF"/>
            <w:vAlign w:val="bottom"/>
            <w:hideMark/>
          </w:tcPr>
          <w:p w14:paraId="19C08BA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0ABA20DF"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88 313</w:t>
            </w:r>
          </w:p>
        </w:tc>
      </w:tr>
      <w:tr w:rsidR="00632215" w:rsidRPr="00D265C5" w14:paraId="50AA1632" w14:textId="77777777" w:rsidTr="00A9745C">
        <w:trPr>
          <w:trHeight w:val="71"/>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08B8B75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25</w:t>
            </w:r>
          </w:p>
        </w:tc>
        <w:tc>
          <w:tcPr>
            <w:tcW w:w="4569" w:type="dxa"/>
            <w:tcBorders>
              <w:top w:val="nil"/>
              <w:left w:val="nil"/>
              <w:bottom w:val="single" w:sz="4" w:space="0" w:color="auto"/>
              <w:right w:val="single" w:sz="4" w:space="0" w:color="auto"/>
            </w:tcBorders>
            <w:shd w:val="clear" w:color="000000" w:fill="FFFFFF"/>
            <w:vAlign w:val="bottom"/>
            <w:hideMark/>
          </w:tcPr>
          <w:p w14:paraId="315EBFA1"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 Pêche et de l'Economie Maritime</w:t>
            </w:r>
          </w:p>
        </w:tc>
        <w:tc>
          <w:tcPr>
            <w:tcW w:w="993" w:type="dxa"/>
            <w:tcBorders>
              <w:top w:val="nil"/>
              <w:left w:val="nil"/>
              <w:bottom w:val="single" w:sz="4" w:space="0" w:color="auto"/>
              <w:right w:val="single" w:sz="4" w:space="0" w:color="auto"/>
            </w:tcBorders>
            <w:shd w:val="clear" w:color="000000" w:fill="FFFFFF"/>
            <w:vAlign w:val="bottom"/>
            <w:hideMark/>
          </w:tcPr>
          <w:p w14:paraId="1AEA455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9</w:t>
            </w:r>
          </w:p>
        </w:tc>
        <w:tc>
          <w:tcPr>
            <w:tcW w:w="1417" w:type="dxa"/>
            <w:tcBorders>
              <w:top w:val="nil"/>
              <w:left w:val="nil"/>
              <w:bottom w:val="single" w:sz="4" w:space="0" w:color="auto"/>
              <w:right w:val="single" w:sz="4" w:space="0" w:color="auto"/>
            </w:tcBorders>
            <w:shd w:val="clear" w:color="000000" w:fill="FFFFFF"/>
            <w:vAlign w:val="bottom"/>
            <w:hideMark/>
          </w:tcPr>
          <w:p w14:paraId="28735A9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62 208</w:t>
            </w:r>
          </w:p>
        </w:tc>
        <w:tc>
          <w:tcPr>
            <w:tcW w:w="1000" w:type="dxa"/>
            <w:tcBorders>
              <w:top w:val="nil"/>
              <w:left w:val="nil"/>
              <w:bottom w:val="single" w:sz="4" w:space="0" w:color="auto"/>
              <w:right w:val="single" w:sz="4" w:space="0" w:color="auto"/>
            </w:tcBorders>
            <w:shd w:val="clear" w:color="000000" w:fill="FFFFFF"/>
            <w:vAlign w:val="bottom"/>
            <w:hideMark/>
          </w:tcPr>
          <w:p w14:paraId="6C667AD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25 182</w:t>
            </w:r>
          </w:p>
        </w:tc>
        <w:tc>
          <w:tcPr>
            <w:tcW w:w="1275" w:type="dxa"/>
            <w:tcBorders>
              <w:top w:val="nil"/>
              <w:left w:val="nil"/>
              <w:bottom w:val="single" w:sz="4" w:space="0" w:color="auto"/>
              <w:right w:val="single" w:sz="4" w:space="0" w:color="auto"/>
            </w:tcBorders>
            <w:shd w:val="clear" w:color="000000" w:fill="FFFFFF"/>
            <w:vAlign w:val="bottom"/>
            <w:hideMark/>
          </w:tcPr>
          <w:p w14:paraId="32826D5B"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87 390</w:t>
            </w:r>
          </w:p>
        </w:tc>
      </w:tr>
      <w:tr w:rsidR="00632215" w:rsidRPr="00D265C5" w14:paraId="69E4A6F7" w14:textId="77777777" w:rsidTr="00A9745C">
        <w:trPr>
          <w:trHeight w:val="102"/>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282269B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26</w:t>
            </w:r>
          </w:p>
        </w:tc>
        <w:tc>
          <w:tcPr>
            <w:tcW w:w="4569" w:type="dxa"/>
            <w:tcBorders>
              <w:top w:val="nil"/>
              <w:left w:val="nil"/>
              <w:bottom w:val="single" w:sz="4" w:space="0" w:color="auto"/>
              <w:right w:val="single" w:sz="4" w:space="0" w:color="auto"/>
            </w:tcBorders>
            <w:shd w:val="clear" w:color="000000" w:fill="FFFFFF"/>
            <w:vAlign w:val="bottom"/>
            <w:hideMark/>
          </w:tcPr>
          <w:p w14:paraId="4B3E3406" w14:textId="22A62394"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Administration et </w:t>
            </w:r>
            <w:r w:rsidR="00AD7D3B" w:rsidRPr="00D265C5">
              <w:rPr>
                <w:rFonts w:ascii="Times New Roman" w:eastAsia="Times New Roman" w:hAnsi="Times New Roman" w:cs="Times New Roman"/>
                <w:color w:val="000000" w:themeColor="text1"/>
                <w:sz w:val="20"/>
                <w:szCs w:val="20"/>
              </w:rPr>
              <w:t>Contrôle</w:t>
            </w:r>
            <w:r w:rsidRPr="00D265C5">
              <w:rPr>
                <w:rFonts w:ascii="Times New Roman" w:eastAsia="Times New Roman" w:hAnsi="Times New Roman" w:cs="Times New Roman"/>
                <w:color w:val="000000" w:themeColor="text1"/>
                <w:sz w:val="20"/>
                <w:szCs w:val="20"/>
              </w:rPr>
              <w:t xml:space="preserve"> des Grands Projets </w:t>
            </w:r>
          </w:p>
        </w:tc>
        <w:tc>
          <w:tcPr>
            <w:tcW w:w="993" w:type="dxa"/>
            <w:tcBorders>
              <w:top w:val="nil"/>
              <w:left w:val="nil"/>
              <w:bottom w:val="single" w:sz="4" w:space="0" w:color="auto"/>
              <w:right w:val="single" w:sz="4" w:space="0" w:color="auto"/>
            </w:tcBorders>
            <w:shd w:val="clear" w:color="000000" w:fill="FFFFFF"/>
            <w:vAlign w:val="bottom"/>
            <w:hideMark/>
          </w:tcPr>
          <w:p w14:paraId="2C5E99E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w:t>
            </w:r>
          </w:p>
        </w:tc>
        <w:tc>
          <w:tcPr>
            <w:tcW w:w="1417" w:type="dxa"/>
            <w:tcBorders>
              <w:top w:val="nil"/>
              <w:left w:val="nil"/>
              <w:bottom w:val="single" w:sz="4" w:space="0" w:color="auto"/>
              <w:right w:val="single" w:sz="4" w:space="0" w:color="auto"/>
            </w:tcBorders>
            <w:shd w:val="clear" w:color="000000" w:fill="FFFFFF"/>
            <w:vAlign w:val="bottom"/>
            <w:hideMark/>
          </w:tcPr>
          <w:p w14:paraId="444316F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85 000</w:t>
            </w:r>
          </w:p>
        </w:tc>
        <w:tc>
          <w:tcPr>
            <w:tcW w:w="1000" w:type="dxa"/>
            <w:tcBorders>
              <w:top w:val="nil"/>
              <w:left w:val="nil"/>
              <w:bottom w:val="single" w:sz="4" w:space="0" w:color="auto"/>
              <w:right w:val="single" w:sz="4" w:space="0" w:color="auto"/>
            </w:tcBorders>
            <w:shd w:val="clear" w:color="000000" w:fill="FFFFFF"/>
            <w:vAlign w:val="bottom"/>
            <w:hideMark/>
          </w:tcPr>
          <w:p w14:paraId="5CD42E8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530B0C53"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85 000</w:t>
            </w:r>
          </w:p>
        </w:tc>
      </w:tr>
      <w:tr w:rsidR="00632215" w:rsidRPr="00D265C5" w14:paraId="15B9D51E" w14:textId="77777777" w:rsidTr="00A9745C">
        <w:trPr>
          <w:trHeight w:val="3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03E63145"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27</w:t>
            </w:r>
          </w:p>
        </w:tc>
        <w:tc>
          <w:tcPr>
            <w:tcW w:w="4569" w:type="dxa"/>
            <w:tcBorders>
              <w:top w:val="nil"/>
              <w:left w:val="nil"/>
              <w:bottom w:val="single" w:sz="4" w:space="0" w:color="auto"/>
              <w:right w:val="single" w:sz="4" w:space="0" w:color="auto"/>
            </w:tcBorders>
            <w:shd w:val="clear" w:color="000000" w:fill="FFFFFF"/>
            <w:vAlign w:val="bottom"/>
            <w:hideMark/>
          </w:tcPr>
          <w:p w14:paraId="30FCC7E2"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la Sécurité et de la Protection Civile </w:t>
            </w:r>
          </w:p>
        </w:tc>
        <w:tc>
          <w:tcPr>
            <w:tcW w:w="993" w:type="dxa"/>
            <w:tcBorders>
              <w:top w:val="nil"/>
              <w:left w:val="nil"/>
              <w:bottom w:val="single" w:sz="4" w:space="0" w:color="auto"/>
              <w:right w:val="single" w:sz="4" w:space="0" w:color="auto"/>
            </w:tcBorders>
            <w:shd w:val="clear" w:color="000000" w:fill="FFFFFF"/>
            <w:vAlign w:val="bottom"/>
            <w:hideMark/>
          </w:tcPr>
          <w:p w14:paraId="6C8CFC3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w:t>
            </w:r>
          </w:p>
        </w:tc>
        <w:tc>
          <w:tcPr>
            <w:tcW w:w="1417" w:type="dxa"/>
            <w:tcBorders>
              <w:top w:val="nil"/>
              <w:left w:val="nil"/>
              <w:bottom w:val="single" w:sz="4" w:space="0" w:color="auto"/>
              <w:right w:val="single" w:sz="4" w:space="0" w:color="auto"/>
            </w:tcBorders>
            <w:shd w:val="clear" w:color="000000" w:fill="FFFFFF"/>
            <w:vAlign w:val="bottom"/>
            <w:hideMark/>
          </w:tcPr>
          <w:p w14:paraId="77B3F4D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82 170</w:t>
            </w:r>
          </w:p>
        </w:tc>
        <w:tc>
          <w:tcPr>
            <w:tcW w:w="1000" w:type="dxa"/>
            <w:tcBorders>
              <w:top w:val="nil"/>
              <w:left w:val="nil"/>
              <w:bottom w:val="single" w:sz="4" w:space="0" w:color="auto"/>
              <w:right w:val="single" w:sz="4" w:space="0" w:color="auto"/>
            </w:tcBorders>
            <w:shd w:val="clear" w:color="000000" w:fill="FFFFFF"/>
            <w:vAlign w:val="bottom"/>
            <w:hideMark/>
          </w:tcPr>
          <w:p w14:paraId="4DC58EF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2F096022"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82 170</w:t>
            </w:r>
          </w:p>
        </w:tc>
      </w:tr>
      <w:tr w:rsidR="00632215" w:rsidRPr="00D265C5" w14:paraId="377BB635" w14:textId="77777777" w:rsidTr="00A9745C">
        <w:trPr>
          <w:trHeight w:val="52"/>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18E6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28</w:t>
            </w:r>
          </w:p>
        </w:tc>
        <w:tc>
          <w:tcPr>
            <w:tcW w:w="456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1E416" w14:textId="22BA3749"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w:t>
            </w:r>
            <w:r w:rsidR="00AD7D3B" w:rsidRPr="00D265C5">
              <w:rPr>
                <w:rFonts w:ascii="Times New Roman" w:eastAsia="Times New Roman" w:hAnsi="Times New Roman" w:cs="Times New Roman"/>
                <w:color w:val="000000" w:themeColor="text1"/>
                <w:sz w:val="20"/>
                <w:szCs w:val="20"/>
              </w:rPr>
              <w:t>Secrétariat</w:t>
            </w:r>
            <w:r w:rsidRPr="00D265C5">
              <w:rPr>
                <w:rFonts w:ascii="Times New Roman" w:eastAsia="Times New Roman" w:hAnsi="Times New Roman" w:cs="Times New Roman"/>
                <w:color w:val="000000" w:themeColor="text1"/>
                <w:sz w:val="20"/>
                <w:szCs w:val="20"/>
              </w:rPr>
              <w:t xml:space="preserve"> General des Affaires Religieuses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7D67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B6F1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71 080</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1B9D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464CC"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71 080</w:t>
            </w:r>
          </w:p>
        </w:tc>
      </w:tr>
      <w:tr w:rsidR="00632215" w:rsidRPr="00D265C5" w14:paraId="5DDD1956" w14:textId="77777777" w:rsidTr="00A9745C">
        <w:trPr>
          <w:trHeight w:val="390"/>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9EFC4"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29</w:t>
            </w:r>
          </w:p>
        </w:tc>
        <w:tc>
          <w:tcPr>
            <w:tcW w:w="4569" w:type="dxa"/>
            <w:tcBorders>
              <w:top w:val="single" w:sz="4" w:space="0" w:color="auto"/>
              <w:left w:val="nil"/>
              <w:bottom w:val="single" w:sz="4" w:space="0" w:color="auto"/>
              <w:right w:val="single" w:sz="4" w:space="0" w:color="auto"/>
            </w:tcBorders>
            <w:shd w:val="clear" w:color="000000" w:fill="FFFFFF"/>
            <w:vAlign w:val="bottom"/>
            <w:hideMark/>
          </w:tcPr>
          <w:p w14:paraId="383FE3E2"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des Affaires Etrangères, de l'Intégration Africaine et des Guinéens de l'Etranger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61618F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18C96B1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64 973</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21F232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F93A2E5"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64 973</w:t>
            </w:r>
          </w:p>
        </w:tc>
      </w:tr>
      <w:tr w:rsidR="00632215" w:rsidRPr="00D265C5" w14:paraId="182E4CCC"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0621E99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30</w:t>
            </w:r>
          </w:p>
        </w:tc>
        <w:tc>
          <w:tcPr>
            <w:tcW w:w="4569" w:type="dxa"/>
            <w:tcBorders>
              <w:top w:val="nil"/>
              <w:left w:val="nil"/>
              <w:bottom w:val="single" w:sz="4" w:space="0" w:color="auto"/>
              <w:right w:val="single" w:sz="4" w:space="0" w:color="auto"/>
            </w:tcBorders>
            <w:shd w:val="clear" w:color="000000" w:fill="FFFFFF"/>
            <w:vAlign w:val="bottom"/>
            <w:hideMark/>
          </w:tcPr>
          <w:p w14:paraId="5E0BD8B1"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Ministère de l'Environnement et du Développement Durable </w:t>
            </w:r>
          </w:p>
        </w:tc>
        <w:tc>
          <w:tcPr>
            <w:tcW w:w="993" w:type="dxa"/>
            <w:tcBorders>
              <w:top w:val="nil"/>
              <w:left w:val="nil"/>
              <w:bottom w:val="single" w:sz="4" w:space="0" w:color="auto"/>
              <w:right w:val="single" w:sz="4" w:space="0" w:color="auto"/>
            </w:tcBorders>
            <w:shd w:val="clear" w:color="000000" w:fill="FFFFFF"/>
            <w:vAlign w:val="bottom"/>
            <w:hideMark/>
          </w:tcPr>
          <w:p w14:paraId="0784E209"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16</w:t>
            </w:r>
          </w:p>
        </w:tc>
        <w:tc>
          <w:tcPr>
            <w:tcW w:w="1417" w:type="dxa"/>
            <w:tcBorders>
              <w:top w:val="nil"/>
              <w:left w:val="nil"/>
              <w:bottom w:val="single" w:sz="4" w:space="0" w:color="auto"/>
              <w:right w:val="single" w:sz="4" w:space="0" w:color="auto"/>
            </w:tcBorders>
            <w:shd w:val="clear" w:color="000000" w:fill="FFFFFF"/>
            <w:vAlign w:val="bottom"/>
            <w:hideMark/>
          </w:tcPr>
          <w:p w14:paraId="0FE01DA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44 466</w:t>
            </w:r>
          </w:p>
        </w:tc>
        <w:tc>
          <w:tcPr>
            <w:tcW w:w="1000" w:type="dxa"/>
            <w:tcBorders>
              <w:top w:val="nil"/>
              <w:left w:val="nil"/>
              <w:bottom w:val="single" w:sz="4" w:space="0" w:color="auto"/>
              <w:right w:val="single" w:sz="4" w:space="0" w:color="auto"/>
            </w:tcBorders>
            <w:shd w:val="clear" w:color="000000" w:fill="FFFFFF"/>
            <w:vAlign w:val="bottom"/>
            <w:hideMark/>
          </w:tcPr>
          <w:p w14:paraId="23DF6EB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4DA6EF11"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44 466</w:t>
            </w:r>
          </w:p>
        </w:tc>
      </w:tr>
      <w:tr w:rsidR="00632215" w:rsidRPr="00D265C5" w14:paraId="293536A6" w14:textId="77777777" w:rsidTr="00A9745C">
        <w:trPr>
          <w:trHeight w:val="154"/>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4344FDF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31</w:t>
            </w:r>
          </w:p>
        </w:tc>
        <w:tc>
          <w:tcPr>
            <w:tcW w:w="4569" w:type="dxa"/>
            <w:tcBorders>
              <w:top w:val="nil"/>
              <w:left w:val="nil"/>
              <w:bottom w:val="single" w:sz="4" w:space="0" w:color="auto"/>
              <w:right w:val="single" w:sz="4" w:space="0" w:color="auto"/>
            </w:tcBorders>
            <w:shd w:val="clear" w:color="000000" w:fill="FFFFFF"/>
            <w:vAlign w:val="bottom"/>
            <w:hideMark/>
          </w:tcPr>
          <w:p w14:paraId="48D07826" w14:textId="3F0D3450"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w:t>
            </w:r>
            <w:r w:rsidR="00AD7D3B" w:rsidRPr="00D265C5">
              <w:rPr>
                <w:rFonts w:ascii="Times New Roman" w:eastAsia="Times New Roman" w:hAnsi="Times New Roman" w:cs="Times New Roman"/>
                <w:color w:val="000000" w:themeColor="text1"/>
                <w:sz w:val="20"/>
                <w:szCs w:val="20"/>
              </w:rPr>
              <w:t>Ministère</w:t>
            </w:r>
            <w:r w:rsidRPr="00D265C5">
              <w:rPr>
                <w:rFonts w:ascii="Times New Roman" w:eastAsia="Times New Roman" w:hAnsi="Times New Roman" w:cs="Times New Roman"/>
                <w:color w:val="000000" w:themeColor="text1"/>
                <w:sz w:val="20"/>
                <w:szCs w:val="20"/>
              </w:rPr>
              <w:t xml:space="preserve"> des Transports </w:t>
            </w:r>
          </w:p>
        </w:tc>
        <w:tc>
          <w:tcPr>
            <w:tcW w:w="993" w:type="dxa"/>
            <w:tcBorders>
              <w:top w:val="nil"/>
              <w:left w:val="nil"/>
              <w:bottom w:val="single" w:sz="4" w:space="0" w:color="auto"/>
              <w:right w:val="single" w:sz="4" w:space="0" w:color="auto"/>
            </w:tcBorders>
            <w:shd w:val="clear" w:color="000000" w:fill="FFFFFF"/>
            <w:vAlign w:val="bottom"/>
            <w:hideMark/>
          </w:tcPr>
          <w:p w14:paraId="009E2E3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6</w:t>
            </w:r>
          </w:p>
        </w:tc>
        <w:tc>
          <w:tcPr>
            <w:tcW w:w="1417" w:type="dxa"/>
            <w:tcBorders>
              <w:top w:val="nil"/>
              <w:left w:val="nil"/>
              <w:bottom w:val="single" w:sz="4" w:space="0" w:color="auto"/>
              <w:right w:val="single" w:sz="4" w:space="0" w:color="auto"/>
            </w:tcBorders>
            <w:shd w:val="clear" w:color="000000" w:fill="FFFFFF"/>
            <w:vAlign w:val="bottom"/>
            <w:hideMark/>
          </w:tcPr>
          <w:p w14:paraId="4F5F906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38 444</w:t>
            </w:r>
          </w:p>
        </w:tc>
        <w:tc>
          <w:tcPr>
            <w:tcW w:w="1000" w:type="dxa"/>
            <w:tcBorders>
              <w:top w:val="nil"/>
              <w:left w:val="nil"/>
              <w:bottom w:val="single" w:sz="4" w:space="0" w:color="auto"/>
              <w:right w:val="single" w:sz="4" w:space="0" w:color="auto"/>
            </w:tcBorders>
            <w:shd w:val="clear" w:color="000000" w:fill="FFFFFF"/>
            <w:vAlign w:val="bottom"/>
            <w:hideMark/>
          </w:tcPr>
          <w:p w14:paraId="2032AD03"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53240DE0"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38 444</w:t>
            </w:r>
          </w:p>
        </w:tc>
      </w:tr>
      <w:tr w:rsidR="00632215" w:rsidRPr="00D265C5" w14:paraId="36F67193" w14:textId="77777777" w:rsidTr="00A9745C">
        <w:trPr>
          <w:trHeight w:val="58"/>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797E43D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32</w:t>
            </w:r>
          </w:p>
        </w:tc>
        <w:tc>
          <w:tcPr>
            <w:tcW w:w="4569" w:type="dxa"/>
            <w:tcBorders>
              <w:top w:val="nil"/>
              <w:left w:val="nil"/>
              <w:bottom w:val="single" w:sz="4" w:space="0" w:color="auto"/>
              <w:right w:val="single" w:sz="4" w:space="0" w:color="auto"/>
            </w:tcBorders>
            <w:shd w:val="clear" w:color="000000" w:fill="FFFFFF"/>
            <w:vAlign w:val="bottom"/>
            <w:hideMark/>
          </w:tcPr>
          <w:p w14:paraId="7BFD5828" w14:textId="260ECF20"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Conseil Nationale de la </w:t>
            </w:r>
            <w:r w:rsidR="00AD7D3B" w:rsidRPr="00D265C5">
              <w:rPr>
                <w:rFonts w:ascii="Times New Roman" w:eastAsia="Times New Roman" w:hAnsi="Times New Roman" w:cs="Times New Roman"/>
                <w:color w:val="000000" w:themeColor="text1"/>
                <w:sz w:val="20"/>
                <w:szCs w:val="20"/>
              </w:rPr>
              <w:t>Transitons</w:t>
            </w:r>
            <w:r w:rsidRPr="00D265C5">
              <w:rPr>
                <w:rFonts w:ascii="Times New Roman" w:eastAsia="Times New Roman" w:hAnsi="Times New Roman" w:cs="Times New Roman"/>
                <w:color w:val="000000" w:themeColor="text1"/>
                <w:sz w:val="20"/>
                <w:szCs w:val="20"/>
              </w:rPr>
              <w:t xml:space="preserve"> </w:t>
            </w:r>
          </w:p>
        </w:tc>
        <w:tc>
          <w:tcPr>
            <w:tcW w:w="993" w:type="dxa"/>
            <w:tcBorders>
              <w:top w:val="nil"/>
              <w:left w:val="nil"/>
              <w:bottom w:val="single" w:sz="4" w:space="0" w:color="auto"/>
              <w:right w:val="single" w:sz="4" w:space="0" w:color="auto"/>
            </w:tcBorders>
            <w:shd w:val="clear" w:color="000000" w:fill="FFFFFF"/>
            <w:vAlign w:val="bottom"/>
            <w:hideMark/>
          </w:tcPr>
          <w:p w14:paraId="412BFAA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14:paraId="4F3AD551"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15 000</w:t>
            </w:r>
          </w:p>
        </w:tc>
        <w:tc>
          <w:tcPr>
            <w:tcW w:w="1000" w:type="dxa"/>
            <w:tcBorders>
              <w:top w:val="nil"/>
              <w:left w:val="nil"/>
              <w:bottom w:val="single" w:sz="4" w:space="0" w:color="auto"/>
              <w:right w:val="single" w:sz="4" w:space="0" w:color="auto"/>
            </w:tcBorders>
            <w:shd w:val="clear" w:color="000000" w:fill="FFFFFF"/>
            <w:vAlign w:val="bottom"/>
            <w:hideMark/>
          </w:tcPr>
          <w:p w14:paraId="1F1674A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3B86A1B5"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15 000</w:t>
            </w:r>
          </w:p>
        </w:tc>
      </w:tr>
      <w:tr w:rsidR="00632215" w:rsidRPr="00D265C5" w14:paraId="69A68E2D" w14:textId="77777777" w:rsidTr="00A9745C">
        <w:trPr>
          <w:trHeight w:val="53"/>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276FDF8F"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33</w:t>
            </w:r>
          </w:p>
        </w:tc>
        <w:tc>
          <w:tcPr>
            <w:tcW w:w="4569" w:type="dxa"/>
            <w:tcBorders>
              <w:top w:val="nil"/>
              <w:left w:val="nil"/>
              <w:bottom w:val="single" w:sz="4" w:space="0" w:color="auto"/>
              <w:right w:val="single" w:sz="4" w:space="0" w:color="auto"/>
            </w:tcBorders>
            <w:shd w:val="clear" w:color="000000" w:fill="FFFFFF"/>
            <w:vAlign w:val="bottom"/>
            <w:hideMark/>
          </w:tcPr>
          <w:p w14:paraId="09E02B8C"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Haute Autorité de la Communication </w:t>
            </w:r>
          </w:p>
        </w:tc>
        <w:tc>
          <w:tcPr>
            <w:tcW w:w="993" w:type="dxa"/>
            <w:tcBorders>
              <w:top w:val="nil"/>
              <w:left w:val="nil"/>
              <w:bottom w:val="single" w:sz="4" w:space="0" w:color="auto"/>
              <w:right w:val="single" w:sz="4" w:space="0" w:color="auto"/>
            </w:tcBorders>
            <w:shd w:val="clear" w:color="000000" w:fill="FFFFFF"/>
            <w:vAlign w:val="bottom"/>
            <w:hideMark/>
          </w:tcPr>
          <w:p w14:paraId="77F34EFB"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2</w:t>
            </w:r>
          </w:p>
        </w:tc>
        <w:tc>
          <w:tcPr>
            <w:tcW w:w="1417" w:type="dxa"/>
            <w:tcBorders>
              <w:top w:val="nil"/>
              <w:left w:val="nil"/>
              <w:bottom w:val="single" w:sz="4" w:space="0" w:color="auto"/>
              <w:right w:val="single" w:sz="4" w:space="0" w:color="auto"/>
            </w:tcBorders>
            <w:shd w:val="clear" w:color="000000" w:fill="FFFFFF"/>
            <w:vAlign w:val="bottom"/>
            <w:hideMark/>
          </w:tcPr>
          <w:p w14:paraId="4C29EB12"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14 108</w:t>
            </w:r>
          </w:p>
        </w:tc>
        <w:tc>
          <w:tcPr>
            <w:tcW w:w="1000" w:type="dxa"/>
            <w:tcBorders>
              <w:top w:val="nil"/>
              <w:left w:val="nil"/>
              <w:bottom w:val="single" w:sz="4" w:space="0" w:color="auto"/>
              <w:right w:val="single" w:sz="4" w:space="0" w:color="auto"/>
            </w:tcBorders>
            <w:shd w:val="clear" w:color="000000" w:fill="FFFFFF"/>
            <w:vAlign w:val="bottom"/>
            <w:hideMark/>
          </w:tcPr>
          <w:p w14:paraId="7F2BDCF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50C9D2BD"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14 108</w:t>
            </w:r>
          </w:p>
        </w:tc>
      </w:tr>
      <w:tr w:rsidR="00632215" w:rsidRPr="00D265C5" w14:paraId="4A82D99B" w14:textId="77777777" w:rsidTr="00A9745C">
        <w:trPr>
          <w:trHeight w:val="39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5A9354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34</w:t>
            </w:r>
          </w:p>
        </w:tc>
        <w:tc>
          <w:tcPr>
            <w:tcW w:w="4569" w:type="dxa"/>
            <w:tcBorders>
              <w:top w:val="nil"/>
              <w:left w:val="nil"/>
              <w:bottom w:val="single" w:sz="4" w:space="0" w:color="auto"/>
              <w:right w:val="single" w:sz="4" w:space="0" w:color="auto"/>
            </w:tcBorders>
            <w:shd w:val="clear" w:color="000000" w:fill="FFFFFF"/>
            <w:vAlign w:val="bottom"/>
            <w:hideMark/>
          </w:tcPr>
          <w:p w14:paraId="376ECCD3" w14:textId="465D30D1"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w:t>
            </w:r>
            <w:r w:rsidR="00AD7D3B" w:rsidRPr="00D265C5">
              <w:rPr>
                <w:rFonts w:ascii="Times New Roman" w:eastAsia="Times New Roman" w:hAnsi="Times New Roman" w:cs="Times New Roman"/>
                <w:color w:val="000000" w:themeColor="text1"/>
                <w:sz w:val="20"/>
                <w:szCs w:val="20"/>
              </w:rPr>
              <w:t>Secrétariat</w:t>
            </w:r>
            <w:r w:rsidRPr="00D265C5">
              <w:rPr>
                <w:rFonts w:ascii="Times New Roman" w:eastAsia="Times New Roman" w:hAnsi="Times New Roman" w:cs="Times New Roman"/>
                <w:color w:val="000000" w:themeColor="text1"/>
                <w:sz w:val="20"/>
                <w:szCs w:val="20"/>
              </w:rPr>
              <w:t xml:space="preserve"> General A La </w:t>
            </w:r>
            <w:r w:rsidR="00AD7D3B" w:rsidRPr="00D265C5">
              <w:rPr>
                <w:rFonts w:ascii="Times New Roman" w:eastAsia="Times New Roman" w:hAnsi="Times New Roman" w:cs="Times New Roman"/>
                <w:color w:val="000000" w:themeColor="text1"/>
                <w:sz w:val="20"/>
                <w:szCs w:val="20"/>
              </w:rPr>
              <w:t>présidence</w:t>
            </w:r>
            <w:r w:rsidRPr="00D265C5">
              <w:rPr>
                <w:rFonts w:ascii="Times New Roman" w:eastAsia="Times New Roman" w:hAnsi="Times New Roman" w:cs="Times New Roman"/>
                <w:color w:val="000000" w:themeColor="text1"/>
                <w:sz w:val="20"/>
                <w:szCs w:val="20"/>
              </w:rPr>
              <w:t xml:space="preserve"> Charge Des Services </w:t>
            </w:r>
            <w:r w:rsidR="00AD7D3B" w:rsidRPr="00D265C5">
              <w:rPr>
                <w:rFonts w:ascii="Times New Roman" w:eastAsia="Times New Roman" w:hAnsi="Times New Roman" w:cs="Times New Roman"/>
                <w:color w:val="000000" w:themeColor="text1"/>
                <w:sz w:val="20"/>
                <w:szCs w:val="20"/>
              </w:rPr>
              <w:t>Spéciaux</w:t>
            </w:r>
            <w:r w:rsidRPr="00D265C5">
              <w:rPr>
                <w:rFonts w:ascii="Times New Roman" w:eastAsia="Times New Roman" w:hAnsi="Times New Roman" w:cs="Times New Roman"/>
                <w:color w:val="000000" w:themeColor="text1"/>
                <w:sz w:val="20"/>
                <w:szCs w:val="20"/>
              </w:rPr>
              <w:t xml:space="preserve">, De La Lutte Contre La Drogue Et Le Crime Organise </w:t>
            </w:r>
          </w:p>
        </w:tc>
        <w:tc>
          <w:tcPr>
            <w:tcW w:w="993" w:type="dxa"/>
            <w:tcBorders>
              <w:top w:val="nil"/>
              <w:left w:val="nil"/>
              <w:bottom w:val="single" w:sz="4" w:space="0" w:color="auto"/>
              <w:right w:val="single" w:sz="4" w:space="0" w:color="auto"/>
            </w:tcBorders>
            <w:shd w:val="clear" w:color="000000" w:fill="FFFFFF"/>
            <w:vAlign w:val="bottom"/>
            <w:hideMark/>
          </w:tcPr>
          <w:p w14:paraId="30B48C2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14:paraId="197265CE"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11 000</w:t>
            </w:r>
          </w:p>
        </w:tc>
        <w:tc>
          <w:tcPr>
            <w:tcW w:w="1000" w:type="dxa"/>
            <w:tcBorders>
              <w:top w:val="nil"/>
              <w:left w:val="nil"/>
              <w:bottom w:val="single" w:sz="4" w:space="0" w:color="auto"/>
              <w:right w:val="single" w:sz="4" w:space="0" w:color="auto"/>
            </w:tcBorders>
            <w:shd w:val="clear" w:color="000000" w:fill="FFFFFF"/>
            <w:vAlign w:val="bottom"/>
            <w:hideMark/>
          </w:tcPr>
          <w:p w14:paraId="54B83FF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3B79CB8E"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11 000</w:t>
            </w:r>
          </w:p>
        </w:tc>
      </w:tr>
      <w:tr w:rsidR="00632215" w:rsidRPr="00D265C5" w14:paraId="56DBC17E" w14:textId="77777777" w:rsidTr="00A9745C">
        <w:trPr>
          <w:trHeight w:val="146"/>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18E2F30A"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35</w:t>
            </w:r>
          </w:p>
        </w:tc>
        <w:tc>
          <w:tcPr>
            <w:tcW w:w="4569" w:type="dxa"/>
            <w:tcBorders>
              <w:top w:val="nil"/>
              <w:left w:val="nil"/>
              <w:bottom w:val="single" w:sz="4" w:space="0" w:color="auto"/>
              <w:right w:val="single" w:sz="4" w:space="0" w:color="auto"/>
            </w:tcBorders>
            <w:shd w:val="clear" w:color="000000" w:fill="FFFFFF"/>
            <w:vAlign w:val="bottom"/>
            <w:hideMark/>
          </w:tcPr>
          <w:p w14:paraId="55929768" w14:textId="6291B2A0"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Cour </w:t>
            </w:r>
            <w:r w:rsidR="00AD7D3B" w:rsidRPr="00D265C5">
              <w:rPr>
                <w:rFonts w:ascii="Times New Roman" w:eastAsia="Times New Roman" w:hAnsi="Times New Roman" w:cs="Times New Roman"/>
                <w:color w:val="000000" w:themeColor="text1"/>
                <w:sz w:val="20"/>
                <w:szCs w:val="20"/>
              </w:rPr>
              <w:t>Suprême</w:t>
            </w:r>
            <w:r w:rsidRPr="00D265C5">
              <w:rPr>
                <w:rFonts w:ascii="Times New Roman" w:eastAsia="Times New Roman" w:hAnsi="Times New Roman" w:cs="Times New Roman"/>
                <w:color w:val="000000" w:themeColor="text1"/>
                <w:sz w:val="20"/>
                <w:szCs w:val="20"/>
              </w:rPr>
              <w:t xml:space="preserve"> </w:t>
            </w:r>
          </w:p>
        </w:tc>
        <w:tc>
          <w:tcPr>
            <w:tcW w:w="993" w:type="dxa"/>
            <w:tcBorders>
              <w:top w:val="nil"/>
              <w:left w:val="nil"/>
              <w:bottom w:val="single" w:sz="4" w:space="0" w:color="auto"/>
              <w:right w:val="single" w:sz="4" w:space="0" w:color="auto"/>
            </w:tcBorders>
            <w:shd w:val="clear" w:color="000000" w:fill="FFFFFF"/>
            <w:vAlign w:val="bottom"/>
            <w:hideMark/>
          </w:tcPr>
          <w:p w14:paraId="73C74346"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14:paraId="3E6CD41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10 966</w:t>
            </w:r>
          </w:p>
        </w:tc>
        <w:tc>
          <w:tcPr>
            <w:tcW w:w="1000" w:type="dxa"/>
            <w:tcBorders>
              <w:top w:val="nil"/>
              <w:left w:val="nil"/>
              <w:bottom w:val="single" w:sz="4" w:space="0" w:color="auto"/>
              <w:right w:val="single" w:sz="4" w:space="0" w:color="auto"/>
            </w:tcBorders>
            <w:shd w:val="clear" w:color="000000" w:fill="FFFFFF"/>
            <w:vAlign w:val="bottom"/>
            <w:hideMark/>
          </w:tcPr>
          <w:p w14:paraId="7011FD6D"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7D3434D5"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10 966</w:t>
            </w:r>
          </w:p>
        </w:tc>
      </w:tr>
      <w:tr w:rsidR="00632215" w:rsidRPr="00D265C5" w14:paraId="5218F263" w14:textId="77777777" w:rsidTr="00A9745C">
        <w:trPr>
          <w:trHeight w:val="5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479AF130"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36</w:t>
            </w:r>
          </w:p>
        </w:tc>
        <w:tc>
          <w:tcPr>
            <w:tcW w:w="4569" w:type="dxa"/>
            <w:tcBorders>
              <w:top w:val="nil"/>
              <w:left w:val="nil"/>
              <w:bottom w:val="single" w:sz="4" w:space="0" w:color="auto"/>
              <w:right w:val="single" w:sz="4" w:space="0" w:color="auto"/>
            </w:tcBorders>
            <w:shd w:val="clear" w:color="000000" w:fill="FFFFFF"/>
            <w:vAlign w:val="bottom"/>
            <w:hideMark/>
          </w:tcPr>
          <w:p w14:paraId="1E23A64A" w14:textId="77777777" w:rsidR="00632215" w:rsidRPr="00D265C5" w:rsidRDefault="00632215" w:rsidP="00632215">
            <w:pPr>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 xml:space="preserve"> Secrétariat Général du Gouvernement </w:t>
            </w:r>
          </w:p>
        </w:tc>
        <w:tc>
          <w:tcPr>
            <w:tcW w:w="993" w:type="dxa"/>
            <w:tcBorders>
              <w:top w:val="nil"/>
              <w:left w:val="nil"/>
              <w:bottom w:val="single" w:sz="4" w:space="0" w:color="auto"/>
              <w:right w:val="single" w:sz="4" w:space="0" w:color="auto"/>
            </w:tcBorders>
            <w:shd w:val="clear" w:color="000000" w:fill="FFFFFF"/>
            <w:vAlign w:val="bottom"/>
            <w:hideMark/>
          </w:tcPr>
          <w:p w14:paraId="58AF3548"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1</w:t>
            </w:r>
          </w:p>
        </w:tc>
        <w:tc>
          <w:tcPr>
            <w:tcW w:w="1417" w:type="dxa"/>
            <w:tcBorders>
              <w:top w:val="nil"/>
              <w:left w:val="nil"/>
              <w:bottom w:val="single" w:sz="4" w:space="0" w:color="auto"/>
              <w:right w:val="single" w:sz="4" w:space="0" w:color="auto"/>
            </w:tcBorders>
            <w:shd w:val="clear" w:color="000000" w:fill="FFFFFF"/>
            <w:vAlign w:val="bottom"/>
            <w:hideMark/>
          </w:tcPr>
          <w:p w14:paraId="549BE12C"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7 000</w:t>
            </w:r>
          </w:p>
        </w:tc>
        <w:tc>
          <w:tcPr>
            <w:tcW w:w="1000" w:type="dxa"/>
            <w:tcBorders>
              <w:top w:val="nil"/>
              <w:left w:val="nil"/>
              <w:bottom w:val="single" w:sz="4" w:space="0" w:color="auto"/>
              <w:right w:val="single" w:sz="4" w:space="0" w:color="auto"/>
            </w:tcBorders>
            <w:shd w:val="clear" w:color="000000" w:fill="FFFFFF"/>
            <w:vAlign w:val="bottom"/>
            <w:hideMark/>
          </w:tcPr>
          <w:p w14:paraId="7B1A42E7" w14:textId="77777777" w:rsidR="00632215" w:rsidRPr="00D265C5" w:rsidRDefault="00632215" w:rsidP="00632215">
            <w:pPr>
              <w:jc w:val="right"/>
              <w:rPr>
                <w:rFonts w:ascii="Times New Roman" w:eastAsia="Times New Roman" w:hAnsi="Times New Roman" w:cs="Times New Roman"/>
                <w:color w:val="000000" w:themeColor="text1"/>
                <w:sz w:val="20"/>
                <w:szCs w:val="20"/>
              </w:rPr>
            </w:pPr>
            <w:r w:rsidRPr="00D265C5">
              <w:rPr>
                <w:rFonts w:ascii="Times New Roman" w:eastAsia="Times New Roman" w:hAnsi="Times New Roman" w:cs="Times New Roman"/>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FF"/>
            <w:vAlign w:val="bottom"/>
            <w:hideMark/>
          </w:tcPr>
          <w:p w14:paraId="398583AA" w14:textId="77777777" w:rsidR="00632215" w:rsidRPr="00D265C5" w:rsidRDefault="00632215" w:rsidP="00632215">
            <w:pPr>
              <w:jc w:val="right"/>
              <w:rPr>
                <w:rFonts w:ascii="Times New Roman" w:eastAsia="Times New Roman" w:hAnsi="Times New Roman" w:cs="Times New Roman"/>
                <w:b/>
                <w:bCs/>
                <w:color w:val="000000" w:themeColor="text1"/>
                <w:sz w:val="20"/>
                <w:szCs w:val="20"/>
              </w:rPr>
            </w:pPr>
            <w:r w:rsidRPr="00D265C5">
              <w:rPr>
                <w:rFonts w:ascii="Times New Roman" w:eastAsia="Times New Roman" w:hAnsi="Times New Roman" w:cs="Times New Roman"/>
                <w:b/>
                <w:bCs/>
                <w:color w:val="000000" w:themeColor="text1"/>
                <w:sz w:val="20"/>
                <w:szCs w:val="20"/>
              </w:rPr>
              <w:t>7 000</w:t>
            </w:r>
          </w:p>
        </w:tc>
      </w:tr>
    </w:tbl>
    <w:p w14:paraId="2217B3CE" w14:textId="77777777" w:rsidR="00632215" w:rsidRPr="003D0996" w:rsidRDefault="00632215" w:rsidP="00632215">
      <w:pPr>
        <w:jc w:val="both"/>
        <w:rPr>
          <w:rFonts w:ascii="Times New Roman" w:eastAsia="Times New Roman" w:hAnsi="Times New Roman" w:cs="Times New Roman"/>
          <w:color w:val="000000" w:themeColor="text1"/>
          <w:sz w:val="24"/>
          <w:szCs w:val="24"/>
        </w:rPr>
      </w:pPr>
    </w:p>
    <w:p w14:paraId="0259B8A3" w14:textId="52A6C958" w:rsidR="00632215" w:rsidRPr="006333CC" w:rsidRDefault="0063221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Ce tableau met en lumière l’importance accordée aux infrastructures routières et énergétiques, à l’agriculture, l’administration du territoire, l’enseignement supérieur et à la santé</w:t>
      </w:r>
      <w:r w:rsidR="008C677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pour une enveloppe cumulée de 8 917 Mds de GNF</w:t>
      </w:r>
      <w:r w:rsidR="008C6771"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soit 64,54% du total des dépenses d’investissements projetées.</w:t>
      </w:r>
    </w:p>
    <w:p w14:paraId="470CEDAD" w14:textId="77777777" w:rsidR="00632215" w:rsidRPr="006333CC" w:rsidRDefault="00632215" w:rsidP="00632215">
      <w:pPr>
        <w:tabs>
          <w:tab w:val="right" w:pos="9072"/>
        </w:tabs>
        <w:jc w:val="both"/>
        <w:rPr>
          <w:rFonts w:ascii="Times New Roman" w:eastAsia="Times New Roman" w:hAnsi="Times New Roman" w:cs="Times New Roman"/>
          <w:b/>
          <w:color w:val="000000" w:themeColor="text1"/>
          <w:sz w:val="28"/>
          <w:szCs w:val="28"/>
        </w:rPr>
      </w:pPr>
      <w:r w:rsidRPr="006333CC">
        <w:rPr>
          <w:rFonts w:ascii="Times New Roman" w:eastAsia="Times New Roman" w:hAnsi="Times New Roman" w:cs="Times New Roman"/>
          <w:b/>
          <w:color w:val="000000" w:themeColor="text1"/>
          <w:sz w:val="28"/>
          <w:szCs w:val="28"/>
        </w:rPr>
        <w:tab/>
      </w:r>
    </w:p>
    <w:p w14:paraId="5606E2FC" w14:textId="503F381E" w:rsidR="00632215" w:rsidRPr="006333CC" w:rsidRDefault="00632215" w:rsidP="00632215">
      <w:pPr>
        <w:jc w:val="both"/>
        <w:rPr>
          <w:rFonts w:ascii="Times New Roman" w:eastAsia="Times New Roman" w:hAnsi="Times New Roman" w:cs="Times New Roman"/>
          <w:b/>
          <w:color w:val="000000" w:themeColor="text1"/>
          <w:sz w:val="28"/>
          <w:szCs w:val="28"/>
        </w:rPr>
      </w:pPr>
      <w:r w:rsidRPr="006333CC">
        <w:rPr>
          <w:rFonts w:ascii="Times New Roman" w:eastAsia="Times New Roman" w:hAnsi="Times New Roman" w:cs="Times New Roman"/>
          <w:color w:val="000000" w:themeColor="text1"/>
          <w:sz w:val="28"/>
          <w:szCs w:val="28"/>
        </w:rPr>
        <w:t>En ce qui concerne la problématique des Conseils d’Administration</w:t>
      </w:r>
      <w:r w:rsidR="006D5230" w:rsidRPr="006333CC">
        <w:rPr>
          <w:rFonts w:ascii="Times New Roman" w:eastAsia="Times New Roman" w:hAnsi="Times New Roman" w:cs="Times New Roman"/>
          <w:color w:val="000000" w:themeColor="text1"/>
          <w:sz w:val="28"/>
          <w:szCs w:val="28"/>
        </w:rPr>
        <w:t xml:space="preserve"> </w:t>
      </w:r>
      <w:r w:rsidRPr="006333CC">
        <w:rPr>
          <w:rFonts w:ascii="Times New Roman" w:eastAsia="Times New Roman" w:hAnsi="Times New Roman" w:cs="Times New Roman"/>
          <w:color w:val="000000" w:themeColor="text1"/>
          <w:sz w:val="28"/>
          <w:szCs w:val="28"/>
        </w:rPr>
        <w:t>(CA), le CNT constate que seulement 76 sur 176 sont mis en place, soit 43% ; ce qui est encore très loin de l’objectif recherché. Cet état de fait compromet la bonne gouvernance des établissements publics et affecte par conséquent la mobilisation des divide</w:t>
      </w:r>
      <w:r w:rsidR="00A72CF5" w:rsidRPr="006333CC">
        <w:rPr>
          <w:rFonts w:ascii="Times New Roman" w:eastAsia="Times New Roman" w:hAnsi="Times New Roman" w:cs="Times New Roman"/>
          <w:color w:val="000000" w:themeColor="text1"/>
          <w:sz w:val="28"/>
          <w:szCs w:val="28"/>
        </w:rPr>
        <w:t>ndes.</w:t>
      </w:r>
      <w:r w:rsidRPr="006333CC">
        <w:rPr>
          <w:rFonts w:ascii="Times New Roman" w:eastAsia="Times New Roman" w:hAnsi="Times New Roman" w:cs="Times New Roman"/>
          <w:color w:val="000000" w:themeColor="text1"/>
          <w:sz w:val="28"/>
          <w:szCs w:val="28"/>
        </w:rPr>
        <w:t xml:space="preserve"> A cet effet, </w:t>
      </w:r>
      <w:r w:rsidRPr="006333CC">
        <w:rPr>
          <w:rFonts w:ascii="Times New Roman" w:eastAsia="Times New Roman" w:hAnsi="Times New Roman" w:cs="Times New Roman"/>
          <w:b/>
          <w:bCs/>
          <w:color w:val="000000" w:themeColor="text1"/>
          <w:sz w:val="28"/>
          <w:szCs w:val="28"/>
        </w:rPr>
        <w:t>le CNT invite</w:t>
      </w:r>
      <w:r w:rsidRPr="006333CC">
        <w:rPr>
          <w:rFonts w:ascii="Times New Roman" w:eastAsia="Times New Roman" w:hAnsi="Times New Roman" w:cs="Times New Roman"/>
          <w:b/>
          <w:color w:val="000000" w:themeColor="text1"/>
          <w:sz w:val="28"/>
          <w:szCs w:val="28"/>
        </w:rPr>
        <w:t xml:space="preserve"> le Gouvernement à accélérer la mise en place des CA. </w:t>
      </w:r>
    </w:p>
    <w:p w14:paraId="613EC5EC" w14:textId="77777777" w:rsidR="00632215" w:rsidRPr="006333CC" w:rsidRDefault="00632215" w:rsidP="00632215">
      <w:pPr>
        <w:jc w:val="both"/>
        <w:rPr>
          <w:rFonts w:ascii="Times New Roman" w:eastAsia="Times New Roman" w:hAnsi="Times New Roman" w:cs="Times New Roman"/>
          <w:color w:val="000000" w:themeColor="text1"/>
          <w:sz w:val="28"/>
          <w:szCs w:val="28"/>
        </w:rPr>
      </w:pPr>
    </w:p>
    <w:p w14:paraId="403BC98C" w14:textId="03D8D4F1" w:rsidR="00632215" w:rsidRPr="006333CC" w:rsidRDefault="00A72CF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Par ailleurs, le</w:t>
      </w:r>
      <w:r w:rsidR="00632215" w:rsidRPr="006333CC">
        <w:rPr>
          <w:rFonts w:ascii="Times New Roman" w:eastAsia="Times New Roman" w:hAnsi="Times New Roman" w:cs="Times New Roman"/>
          <w:color w:val="000000" w:themeColor="text1"/>
          <w:sz w:val="28"/>
          <w:szCs w:val="28"/>
        </w:rPr>
        <w:t xml:space="preserve"> CNT dans le souci de rationaliser les dépenses publiques et renforcer les organes de Contrôle, </w:t>
      </w:r>
      <w:r w:rsidR="00632215" w:rsidRPr="006333CC">
        <w:rPr>
          <w:rFonts w:ascii="Times New Roman" w:eastAsia="Times New Roman" w:hAnsi="Times New Roman" w:cs="Times New Roman"/>
          <w:b/>
          <w:color w:val="000000" w:themeColor="text1"/>
          <w:sz w:val="28"/>
          <w:szCs w:val="28"/>
        </w:rPr>
        <w:t>invite le Gouvernement à améliorer significativement la dotation budgétaire de l’Inspection Générale des Finances (IGF), l’Inspection Générale d’Etat, l’</w:t>
      </w:r>
      <w:r w:rsidR="004B3BB5" w:rsidRPr="006333CC">
        <w:rPr>
          <w:rFonts w:ascii="Times New Roman" w:eastAsia="Times New Roman" w:hAnsi="Times New Roman" w:cs="Times New Roman"/>
          <w:b/>
          <w:color w:val="000000" w:themeColor="text1"/>
          <w:sz w:val="28"/>
          <w:szCs w:val="28"/>
        </w:rPr>
        <w:t>A</w:t>
      </w:r>
      <w:r w:rsidR="00632215" w:rsidRPr="006333CC">
        <w:rPr>
          <w:rFonts w:ascii="Times New Roman" w:eastAsia="Times New Roman" w:hAnsi="Times New Roman" w:cs="Times New Roman"/>
          <w:b/>
          <w:color w:val="000000" w:themeColor="text1"/>
          <w:sz w:val="28"/>
          <w:szCs w:val="28"/>
        </w:rPr>
        <w:t xml:space="preserve">gence de </w:t>
      </w:r>
      <w:r w:rsidR="004B3BB5" w:rsidRPr="006333CC">
        <w:rPr>
          <w:rFonts w:ascii="Times New Roman" w:eastAsia="Times New Roman" w:hAnsi="Times New Roman" w:cs="Times New Roman"/>
          <w:b/>
          <w:color w:val="000000" w:themeColor="text1"/>
          <w:sz w:val="28"/>
          <w:szCs w:val="28"/>
        </w:rPr>
        <w:t>L</w:t>
      </w:r>
      <w:r w:rsidR="00632215" w:rsidRPr="006333CC">
        <w:rPr>
          <w:rFonts w:ascii="Times New Roman" w:eastAsia="Times New Roman" w:hAnsi="Times New Roman" w:cs="Times New Roman"/>
          <w:b/>
          <w:color w:val="000000" w:themeColor="text1"/>
          <w:sz w:val="28"/>
          <w:szCs w:val="28"/>
        </w:rPr>
        <w:t xml:space="preserve">utte contre la </w:t>
      </w:r>
      <w:r w:rsidR="004B3BB5" w:rsidRPr="006333CC">
        <w:rPr>
          <w:rFonts w:ascii="Times New Roman" w:eastAsia="Times New Roman" w:hAnsi="Times New Roman" w:cs="Times New Roman"/>
          <w:b/>
          <w:color w:val="000000" w:themeColor="text1"/>
          <w:sz w:val="28"/>
          <w:szCs w:val="28"/>
        </w:rPr>
        <w:t>C</w:t>
      </w:r>
      <w:r w:rsidR="00632215" w:rsidRPr="006333CC">
        <w:rPr>
          <w:rFonts w:ascii="Times New Roman" w:eastAsia="Times New Roman" w:hAnsi="Times New Roman" w:cs="Times New Roman"/>
          <w:b/>
          <w:color w:val="000000" w:themeColor="text1"/>
          <w:sz w:val="28"/>
          <w:szCs w:val="28"/>
        </w:rPr>
        <w:t xml:space="preserve">orruption et la Cour des </w:t>
      </w:r>
      <w:r w:rsidR="004B3BB5" w:rsidRPr="006333CC">
        <w:rPr>
          <w:rFonts w:ascii="Times New Roman" w:eastAsia="Times New Roman" w:hAnsi="Times New Roman" w:cs="Times New Roman"/>
          <w:b/>
          <w:color w:val="000000" w:themeColor="text1"/>
          <w:sz w:val="28"/>
          <w:szCs w:val="28"/>
        </w:rPr>
        <w:t>C</w:t>
      </w:r>
      <w:r w:rsidR="00632215" w:rsidRPr="006333CC">
        <w:rPr>
          <w:rFonts w:ascii="Times New Roman" w:eastAsia="Times New Roman" w:hAnsi="Times New Roman" w:cs="Times New Roman"/>
          <w:b/>
          <w:color w:val="000000" w:themeColor="text1"/>
          <w:sz w:val="28"/>
          <w:szCs w:val="28"/>
        </w:rPr>
        <w:t>omptes</w:t>
      </w:r>
      <w:r w:rsidR="00632215" w:rsidRPr="006333CC">
        <w:rPr>
          <w:rFonts w:ascii="Times New Roman" w:eastAsia="Times New Roman" w:hAnsi="Times New Roman" w:cs="Times New Roman"/>
          <w:color w:val="000000" w:themeColor="text1"/>
          <w:sz w:val="28"/>
          <w:szCs w:val="28"/>
        </w:rPr>
        <w:t xml:space="preserve">. </w:t>
      </w:r>
      <w:r w:rsidRPr="006333CC">
        <w:rPr>
          <w:rFonts w:ascii="Times New Roman" w:eastAsia="Times New Roman" w:hAnsi="Times New Roman" w:cs="Times New Roman"/>
          <w:color w:val="000000" w:themeColor="text1"/>
          <w:sz w:val="28"/>
          <w:szCs w:val="28"/>
        </w:rPr>
        <w:t>Pour ce qui est de l’IGF, le CNT</w:t>
      </w:r>
      <w:r w:rsidR="004B3BB5"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en accord avec le Ministère du Budget</w:t>
      </w:r>
      <w:r w:rsidR="004B3BB5" w:rsidRPr="006333CC">
        <w:rPr>
          <w:rFonts w:ascii="Times New Roman" w:eastAsia="Times New Roman" w:hAnsi="Times New Roman" w:cs="Times New Roman"/>
          <w:color w:val="000000" w:themeColor="text1"/>
          <w:sz w:val="28"/>
          <w:szCs w:val="28"/>
        </w:rPr>
        <w:t>,</w:t>
      </w:r>
      <w:r w:rsidRPr="006333CC">
        <w:rPr>
          <w:rFonts w:ascii="Times New Roman" w:eastAsia="Times New Roman" w:hAnsi="Times New Roman" w:cs="Times New Roman"/>
          <w:color w:val="000000" w:themeColor="text1"/>
          <w:sz w:val="28"/>
          <w:szCs w:val="28"/>
        </w:rPr>
        <w:t xml:space="preserve"> a revu sa dotation budgétaire à</w:t>
      </w:r>
      <w:r w:rsidR="004B3BB5" w:rsidRPr="006333CC">
        <w:rPr>
          <w:rFonts w:ascii="Times New Roman" w:eastAsia="Times New Roman" w:hAnsi="Times New Roman" w:cs="Times New Roman"/>
          <w:color w:val="000000" w:themeColor="text1"/>
          <w:sz w:val="28"/>
          <w:szCs w:val="28"/>
        </w:rPr>
        <w:t xml:space="preserve"> la</w:t>
      </w:r>
      <w:r w:rsidRPr="006333CC">
        <w:rPr>
          <w:rFonts w:ascii="Times New Roman" w:eastAsia="Times New Roman" w:hAnsi="Times New Roman" w:cs="Times New Roman"/>
          <w:color w:val="000000" w:themeColor="text1"/>
          <w:sz w:val="28"/>
          <w:szCs w:val="28"/>
        </w:rPr>
        <w:t xml:space="preserve"> hausse de 1,5Mds de GNF. Aussi, il</w:t>
      </w:r>
      <w:r w:rsidR="00632215" w:rsidRPr="006333CC">
        <w:rPr>
          <w:rFonts w:ascii="Times New Roman" w:eastAsia="Times New Roman" w:hAnsi="Times New Roman" w:cs="Times New Roman"/>
          <w:color w:val="000000" w:themeColor="text1"/>
          <w:sz w:val="28"/>
          <w:szCs w:val="28"/>
        </w:rPr>
        <w:t xml:space="preserve"> invite le </w:t>
      </w:r>
      <w:r w:rsidR="004B3BB5" w:rsidRPr="006333CC">
        <w:rPr>
          <w:rFonts w:ascii="Times New Roman" w:eastAsia="Times New Roman" w:hAnsi="Times New Roman" w:cs="Times New Roman"/>
          <w:color w:val="000000" w:themeColor="text1"/>
          <w:sz w:val="28"/>
          <w:szCs w:val="28"/>
        </w:rPr>
        <w:t>G</w:t>
      </w:r>
      <w:r w:rsidR="00632215" w:rsidRPr="006333CC">
        <w:rPr>
          <w:rFonts w:ascii="Times New Roman" w:eastAsia="Times New Roman" w:hAnsi="Times New Roman" w:cs="Times New Roman"/>
          <w:color w:val="000000" w:themeColor="text1"/>
          <w:sz w:val="28"/>
          <w:szCs w:val="28"/>
        </w:rPr>
        <w:t>ouvernement à mettre un accent particulier sur leur autonomie.</w:t>
      </w:r>
    </w:p>
    <w:p w14:paraId="50AFDF64" w14:textId="77777777" w:rsidR="00632215" w:rsidRPr="006333CC" w:rsidRDefault="00632215" w:rsidP="00632215">
      <w:pPr>
        <w:jc w:val="both"/>
        <w:rPr>
          <w:rFonts w:ascii="Times New Roman" w:eastAsia="Times New Roman" w:hAnsi="Times New Roman" w:cs="Times New Roman"/>
          <w:color w:val="000000" w:themeColor="text1"/>
          <w:sz w:val="28"/>
          <w:szCs w:val="28"/>
        </w:rPr>
      </w:pPr>
    </w:p>
    <w:p w14:paraId="0619EFE0" w14:textId="35081082" w:rsidR="00632215" w:rsidRPr="006333CC" w:rsidRDefault="00632215" w:rsidP="00632215">
      <w:pPr>
        <w:jc w:val="both"/>
        <w:rPr>
          <w:rFonts w:ascii="Times New Roman" w:eastAsia="Times New Roman" w:hAnsi="Times New Roman" w:cs="Times New Roman"/>
          <w:color w:val="000000" w:themeColor="text1"/>
          <w:sz w:val="28"/>
          <w:szCs w:val="28"/>
        </w:rPr>
      </w:pPr>
      <w:r w:rsidRPr="006333CC">
        <w:rPr>
          <w:rFonts w:ascii="Times New Roman" w:eastAsia="Times New Roman" w:hAnsi="Times New Roman" w:cs="Times New Roman"/>
          <w:color w:val="000000" w:themeColor="text1"/>
          <w:sz w:val="28"/>
          <w:szCs w:val="28"/>
        </w:rPr>
        <w:t xml:space="preserve">Malgré les recommandations du CNT relatives à la prolifération des arrêtés conjoints de partage des ressources, la situation reste inchangée. Par conséquent, </w:t>
      </w:r>
      <w:r w:rsidRPr="006333CC">
        <w:rPr>
          <w:rFonts w:ascii="Times New Roman" w:eastAsia="Times New Roman" w:hAnsi="Times New Roman" w:cs="Times New Roman"/>
          <w:b/>
          <w:bCs/>
          <w:color w:val="000000" w:themeColor="text1"/>
          <w:sz w:val="28"/>
          <w:szCs w:val="28"/>
        </w:rPr>
        <w:t xml:space="preserve">la </w:t>
      </w:r>
      <w:r w:rsidR="004B3BB5" w:rsidRPr="006333CC">
        <w:rPr>
          <w:rFonts w:ascii="Times New Roman" w:eastAsia="Times New Roman" w:hAnsi="Times New Roman" w:cs="Times New Roman"/>
          <w:b/>
          <w:bCs/>
          <w:color w:val="000000" w:themeColor="text1"/>
          <w:sz w:val="28"/>
          <w:szCs w:val="28"/>
        </w:rPr>
        <w:t>C</w:t>
      </w:r>
      <w:r w:rsidRPr="006333CC">
        <w:rPr>
          <w:rFonts w:ascii="Times New Roman" w:eastAsia="Times New Roman" w:hAnsi="Times New Roman" w:cs="Times New Roman"/>
          <w:b/>
          <w:bCs/>
          <w:color w:val="000000" w:themeColor="text1"/>
          <w:sz w:val="28"/>
          <w:szCs w:val="28"/>
        </w:rPr>
        <w:t xml:space="preserve">ommission en charge des finances propose au CNT la révision de </w:t>
      </w:r>
      <w:r w:rsidR="00A72CF5" w:rsidRPr="006333CC">
        <w:rPr>
          <w:rFonts w:ascii="Times New Roman" w:eastAsia="Times New Roman" w:hAnsi="Times New Roman" w:cs="Times New Roman"/>
          <w:b/>
          <w:bCs/>
          <w:color w:val="000000" w:themeColor="text1"/>
          <w:sz w:val="28"/>
          <w:szCs w:val="28"/>
        </w:rPr>
        <w:t>l’article 6 et suivants</w:t>
      </w:r>
      <w:r w:rsidRPr="006333CC">
        <w:rPr>
          <w:rFonts w:ascii="Times New Roman" w:eastAsia="Times New Roman" w:hAnsi="Times New Roman" w:cs="Times New Roman"/>
          <w:b/>
          <w:bCs/>
          <w:color w:val="000000" w:themeColor="text1"/>
          <w:sz w:val="28"/>
          <w:szCs w:val="28"/>
        </w:rPr>
        <w:t xml:space="preserve"> de la Loi Organique Relative aux lois de Finances (LORF)</w:t>
      </w:r>
      <w:r w:rsidR="004B3BB5" w:rsidRPr="006333CC">
        <w:rPr>
          <w:rFonts w:ascii="Times New Roman" w:eastAsia="Times New Roman" w:hAnsi="Times New Roman" w:cs="Times New Roman"/>
          <w:b/>
          <w:bCs/>
          <w:color w:val="000000" w:themeColor="text1"/>
          <w:sz w:val="28"/>
          <w:szCs w:val="28"/>
        </w:rPr>
        <w:t>,</w:t>
      </w:r>
      <w:r w:rsidR="00A72CF5" w:rsidRPr="006333CC">
        <w:rPr>
          <w:rFonts w:ascii="Times New Roman" w:eastAsia="Times New Roman" w:hAnsi="Times New Roman" w:cs="Times New Roman"/>
          <w:b/>
          <w:bCs/>
          <w:color w:val="000000" w:themeColor="text1"/>
          <w:sz w:val="28"/>
          <w:szCs w:val="28"/>
        </w:rPr>
        <w:t xml:space="preserve"> afin de rationaliser leur création</w:t>
      </w:r>
      <w:r w:rsidRPr="006333CC">
        <w:rPr>
          <w:rFonts w:ascii="Times New Roman" w:eastAsia="Times New Roman" w:hAnsi="Times New Roman" w:cs="Times New Roman"/>
          <w:color w:val="000000" w:themeColor="text1"/>
          <w:sz w:val="28"/>
          <w:szCs w:val="28"/>
        </w:rPr>
        <w:t>.</w:t>
      </w:r>
    </w:p>
    <w:p w14:paraId="02D6DEE3" w14:textId="77777777" w:rsidR="00A72CF5" w:rsidRPr="006333CC" w:rsidRDefault="00A72CF5" w:rsidP="00E942D2">
      <w:pPr>
        <w:jc w:val="both"/>
        <w:rPr>
          <w:rFonts w:ascii="Times New Roman" w:hAnsi="Times New Roman" w:cs="Times New Roman"/>
          <w:b/>
          <w:bCs/>
          <w:sz w:val="28"/>
          <w:szCs w:val="28"/>
        </w:rPr>
      </w:pPr>
    </w:p>
    <w:p w14:paraId="3AD04F92" w14:textId="77777777" w:rsidR="00632215" w:rsidRPr="006333CC" w:rsidRDefault="00632215" w:rsidP="00632215">
      <w:pPr>
        <w:jc w:val="both"/>
        <w:rPr>
          <w:rFonts w:ascii="Times New Roman" w:hAnsi="Times New Roman" w:cs="Times New Roman"/>
          <w:b/>
          <w:bCs/>
          <w:sz w:val="28"/>
          <w:szCs w:val="28"/>
        </w:rPr>
      </w:pPr>
      <w:r w:rsidRPr="006333CC">
        <w:rPr>
          <w:rFonts w:ascii="Times New Roman" w:hAnsi="Times New Roman" w:cs="Times New Roman"/>
          <w:b/>
          <w:bCs/>
          <w:sz w:val="28"/>
          <w:szCs w:val="28"/>
        </w:rPr>
        <w:t>Honorables Conseillers Nationaux, </w:t>
      </w:r>
    </w:p>
    <w:p w14:paraId="4B810A80" w14:textId="77777777" w:rsidR="00632215" w:rsidRPr="006333CC" w:rsidRDefault="00632215" w:rsidP="00E942D2">
      <w:pPr>
        <w:jc w:val="both"/>
        <w:rPr>
          <w:rFonts w:ascii="Times New Roman" w:hAnsi="Times New Roman" w:cs="Times New Roman"/>
          <w:sz w:val="28"/>
          <w:szCs w:val="28"/>
        </w:rPr>
      </w:pPr>
    </w:p>
    <w:p w14:paraId="3AE53261" w14:textId="3D2791C4" w:rsidR="00E942D2" w:rsidRPr="006333CC" w:rsidRDefault="00E942D2" w:rsidP="00E942D2">
      <w:pPr>
        <w:jc w:val="both"/>
        <w:rPr>
          <w:rFonts w:ascii="Times New Roman" w:hAnsi="Times New Roman" w:cs="Times New Roman"/>
          <w:sz w:val="28"/>
          <w:szCs w:val="28"/>
        </w:rPr>
      </w:pPr>
      <w:r w:rsidRPr="006333CC">
        <w:rPr>
          <w:rFonts w:ascii="Times New Roman" w:hAnsi="Times New Roman" w:cs="Times New Roman"/>
          <w:sz w:val="28"/>
          <w:szCs w:val="28"/>
        </w:rPr>
        <w:t xml:space="preserve">Les discussions budgétaires ont suscité un grand intérêt </w:t>
      </w:r>
      <w:r w:rsidR="004B3BB5" w:rsidRPr="006333CC">
        <w:rPr>
          <w:rFonts w:ascii="Times New Roman" w:hAnsi="Times New Roman" w:cs="Times New Roman"/>
          <w:sz w:val="28"/>
          <w:szCs w:val="28"/>
        </w:rPr>
        <w:t>auprès</w:t>
      </w:r>
      <w:r w:rsidRPr="006333CC">
        <w:rPr>
          <w:rFonts w:ascii="Times New Roman" w:hAnsi="Times New Roman" w:cs="Times New Roman"/>
          <w:sz w:val="28"/>
          <w:szCs w:val="28"/>
        </w:rPr>
        <w:t xml:space="preserve"> </w:t>
      </w:r>
      <w:r w:rsidR="004B3BB5" w:rsidRPr="006333CC">
        <w:rPr>
          <w:rFonts w:ascii="Times New Roman" w:hAnsi="Times New Roman" w:cs="Times New Roman"/>
          <w:sz w:val="28"/>
          <w:szCs w:val="28"/>
        </w:rPr>
        <w:t>de</w:t>
      </w:r>
      <w:r w:rsidR="00A72CF5" w:rsidRPr="006333CC">
        <w:rPr>
          <w:rFonts w:ascii="Times New Roman" w:hAnsi="Times New Roman" w:cs="Times New Roman"/>
          <w:sz w:val="28"/>
          <w:szCs w:val="28"/>
        </w:rPr>
        <w:t>s conseillers nationaux</w:t>
      </w:r>
      <w:r w:rsidR="004B3BB5" w:rsidRPr="006333CC">
        <w:rPr>
          <w:rFonts w:ascii="Times New Roman" w:hAnsi="Times New Roman" w:cs="Times New Roman"/>
          <w:sz w:val="28"/>
          <w:szCs w:val="28"/>
        </w:rPr>
        <w:t>.</w:t>
      </w:r>
      <w:r w:rsidR="005C2DDF" w:rsidRPr="006333CC">
        <w:rPr>
          <w:rFonts w:ascii="Times New Roman" w:hAnsi="Times New Roman" w:cs="Times New Roman"/>
          <w:sz w:val="28"/>
          <w:szCs w:val="28"/>
        </w:rPr>
        <w:t xml:space="preserve"> Cela s’est</w:t>
      </w:r>
      <w:r w:rsidRPr="006333CC">
        <w:rPr>
          <w:rFonts w:ascii="Times New Roman" w:hAnsi="Times New Roman" w:cs="Times New Roman"/>
          <w:sz w:val="28"/>
          <w:szCs w:val="28"/>
        </w:rPr>
        <w:t xml:space="preserve"> traduit par les questions posées aux membres du Gouvernement lors de la présentation du budget de l’État et celles posées aux différents Ministres, Présidents d’Institutions et leurs cadres</w:t>
      </w:r>
      <w:r w:rsidR="005C2DDF" w:rsidRPr="006333CC">
        <w:rPr>
          <w:rFonts w:ascii="Times New Roman" w:hAnsi="Times New Roman" w:cs="Times New Roman"/>
          <w:sz w:val="28"/>
          <w:szCs w:val="28"/>
        </w:rPr>
        <w:t>,</w:t>
      </w:r>
      <w:r w:rsidRPr="006333CC">
        <w:rPr>
          <w:rFonts w:ascii="Times New Roman" w:hAnsi="Times New Roman" w:cs="Times New Roman"/>
          <w:sz w:val="28"/>
          <w:szCs w:val="28"/>
        </w:rPr>
        <w:t xml:space="preserve"> pendant l’examen de leurs budgets sectoriels respectifs</w:t>
      </w:r>
      <w:r w:rsidR="005C2DDF" w:rsidRPr="006333CC">
        <w:rPr>
          <w:rFonts w:ascii="Times New Roman" w:hAnsi="Times New Roman" w:cs="Times New Roman"/>
          <w:sz w:val="28"/>
          <w:szCs w:val="28"/>
        </w:rPr>
        <w:t>.</w:t>
      </w:r>
      <w:r w:rsidRPr="006333CC">
        <w:rPr>
          <w:rFonts w:ascii="Times New Roman" w:hAnsi="Times New Roman" w:cs="Times New Roman"/>
          <w:sz w:val="28"/>
          <w:szCs w:val="28"/>
        </w:rPr>
        <w:t xml:space="preserve"> </w:t>
      </w:r>
      <w:r w:rsidR="005C2DDF" w:rsidRPr="006333CC">
        <w:rPr>
          <w:rFonts w:ascii="Times New Roman" w:hAnsi="Times New Roman" w:cs="Times New Roman"/>
          <w:sz w:val="28"/>
          <w:szCs w:val="28"/>
        </w:rPr>
        <w:t>A</w:t>
      </w:r>
      <w:r w:rsidRPr="006333CC">
        <w:rPr>
          <w:rFonts w:ascii="Times New Roman" w:hAnsi="Times New Roman" w:cs="Times New Roman"/>
          <w:sz w:val="28"/>
          <w:szCs w:val="28"/>
        </w:rPr>
        <w:t>u titre de</w:t>
      </w:r>
      <w:r w:rsidR="005C2DDF" w:rsidRPr="006333CC">
        <w:rPr>
          <w:rFonts w:ascii="Times New Roman" w:hAnsi="Times New Roman" w:cs="Times New Roman"/>
          <w:sz w:val="28"/>
          <w:szCs w:val="28"/>
        </w:rPr>
        <w:t xml:space="preserve"> ces questions</w:t>
      </w:r>
      <w:r w:rsidRPr="006333CC">
        <w:rPr>
          <w:rFonts w:ascii="Times New Roman" w:hAnsi="Times New Roman" w:cs="Times New Roman"/>
          <w:sz w:val="28"/>
          <w:szCs w:val="28"/>
        </w:rPr>
        <w:t xml:space="preserve"> nous pouvons citer :</w:t>
      </w:r>
    </w:p>
    <w:p w14:paraId="05CA8C2F" w14:textId="77777777" w:rsidR="00E942D2" w:rsidRPr="006333CC" w:rsidRDefault="00E942D2" w:rsidP="00E858A7">
      <w:pPr>
        <w:pStyle w:val="Paragraphedeliste"/>
        <w:numPr>
          <w:ilvl w:val="0"/>
          <w:numId w:val="2"/>
        </w:numPr>
        <w:jc w:val="both"/>
        <w:rPr>
          <w:rFonts w:ascii="Times New Roman" w:eastAsia="Times New Roman" w:hAnsi="Times New Roman" w:cs="Times New Roman"/>
          <w:sz w:val="28"/>
          <w:szCs w:val="28"/>
        </w:rPr>
      </w:pPr>
      <w:r w:rsidRPr="006333CC">
        <w:rPr>
          <w:rFonts w:ascii="Times New Roman" w:eastAsia="Times New Roman" w:hAnsi="Times New Roman" w:cs="Times New Roman"/>
          <w:sz w:val="28"/>
          <w:szCs w:val="28"/>
        </w:rPr>
        <w:t>les écarts remarquables de projections de dépenses constatés entre la LFR2023 et le PLFI 2024 ;</w:t>
      </w:r>
    </w:p>
    <w:p w14:paraId="46708B7D" w14:textId="14A564AF" w:rsidR="00E942D2" w:rsidRPr="006333CC" w:rsidRDefault="00E942D2" w:rsidP="00E858A7">
      <w:pPr>
        <w:pStyle w:val="Paragraphedeliste"/>
        <w:numPr>
          <w:ilvl w:val="0"/>
          <w:numId w:val="2"/>
        </w:numPr>
        <w:jc w:val="both"/>
        <w:rPr>
          <w:rFonts w:ascii="Times New Roman" w:eastAsia="Times New Roman" w:hAnsi="Times New Roman" w:cs="Times New Roman"/>
          <w:sz w:val="28"/>
          <w:szCs w:val="28"/>
        </w:rPr>
      </w:pPr>
      <w:r w:rsidRPr="006333CC">
        <w:rPr>
          <w:rFonts w:ascii="Times New Roman" w:eastAsia="Times New Roman" w:hAnsi="Times New Roman" w:cs="Times New Roman"/>
          <w:sz w:val="28"/>
          <w:szCs w:val="28"/>
        </w:rPr>
        <w:t>les rais</w:t>
      </w:r>
      <w:r w:rsidR="00EB78AF" w:rsidRPr="006333CC">
        <w:rPr>
          <w:rFonts w:ascii="Times New Roman" w:eastAsia="Times New Roman" w:hAnsi="Times New Roman" w:cs="Times New Roman"/>
          <w:sz w:val="28"/>
          <w:szCs w:val="28"/>
        </w:rPr>
        <w:t xml:space="preserve">ons de la hausse et de la baisse </w:t>
      </w:r>
      <w:r w:rsidRPr="006333CC">
        <w:rPr>
          <w:rFonts w:ascii="Times New Roman" w:eastAsia="Times New Roman" w:hAnsi="Times New Roman" w:cs="Times New Roman"/>
          <w:sz w:val="28"/>
          <w:szCs w:val="28"/>
        </w:rPr>
        <w:t xml:space="preserve">de certaines </w:t>
      </w:r>
      <w:r w:rsidR="00EB78AF" w:rsidRPr="006333CC">
        <w:rPr>
          <w:rFonts w:ascii="Times New Roman" w:eastAsia="Times New Roman" w:hAnsi="Times New Roman" w:cs="Times New Roman"/>
          <w:sz w:val="28"/>
          <w:szCs w:val="28"/>
        </w:rPr>
        <w:t>dotations</w:t>
      </w:r>
      <w:r w:rsidRPr="006333CC">
        <w:rPr>
          <w:rFonts w:ascii="Times New Roman" w:eastAsia="Times New Roman" w:hAnsi="Times New Roman" w:cs="Times New Roman"/>
          <w:sz w:val="28"/>
          <w:szCs w:val="28"/>
        </w:rPr>
        <w:t xml:space="preserve"> budgétaires ;</w:t>
      </w:r>
    </w:p>
    <w:p w14:paraId="66A41EE3" w14:textId="3AEC9D7E"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de mise en œuvre du paiement des 20% d</w:t>
      </w:r>
      <w:r w:rsidR="00EB78AF" w:rsidRPr="006333CC">
        <w:rPr>
          <w:rFonts w:ascii="Times New Roman" w:eastAsia="Times New Roman" w:hAnsi="Times New Roman" w:cs="Times New Roman"/>
          <w:sz w:val="28"/>
          <w:szCs w:val="28"/>
        </w:rPr>
        <w:t>’allocation aux services déconcentrés</w:t>
      </w:r>
      <w:r w:rsidR="00A611CB" w:rsidRPr="006333CC">
        <w:rPr>
          <w:rFonts w:ascii="Times New Roman" w:eastAsia="Times New Roman" w:hAnsi="Times New Roman" w:cs="Times New Roman"/>
          <w:sz w:val="28"/>
          <w:szCs w:val="28"/>
        </w:rPr>
        <w:t> ;</w:t>
      </w:r>
    </w:p>
    <w:p w14:paraId="4141DA8F"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d’exécution des 400 Milliards accordé au MATD dans le cadre de l’organisation des élections ;</w:t>
      </w:r>
    </w:p>
    <w:p w14:paraId="166A6F9A" w14:textId="28144DCA"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d’exécution des 1.491,07 Mds de dons et les départements bénéficiaires ;</w:t>
      </w:r>
    </w:p>
    <w:p w14:paraId="0C481DA5"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les raisons du faible taux d’exécution des dépenses à fin septembre 2023 ;</w:t>
      </w:r>
    </w:p>
    <w:p w14:paraId="45A60D58" w14:textId="57A1C09F"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d’apurement</w:t>
      </w:r>
      <w:r w:rsidR="00476D08" w:rsidRPr="006333CC">
        <w:rPr>
          <w:rFonts w:ascii="Times New Roman" w:eastAsia="Times New Roman" w:hAnsi="Times New Roman" w:cs="Times New Roman"/>
          <w:sz w:val="28"/>
          <w:szCs w:val="28"/>
        </w:rPr>
        <w:t>,</w:t>
      </w:r>
      <w:r w:rsidRPr="006333CC">
        <w:rPr>
          <w:rFonts w:ascii="Times New Roman" w:eastAsia="Times New Roman" w:hAnsi="Times New Roman" w:cs="Times New Roman"/>
          <w:sz w:val="28"/>
          <w:szCs w:val="28"/>
        </w:rPr>
        <w:t xml:space="preserve"> à date</w:t>
      </w:r>
      <w:r w:rsidR="00476D08" w:rsidRPr="006333CC">
        <w:rPr>
          <w:rFonts w:ascii="Times New Roman" w:eastAsia="Times New Roman" w:hAnsi="Times New Roman" w:cs="Times New Roman"/>
          <w:sz w:val="28"/>
          <w:szCs w:val="28"/>
        </w:rPr>
        <w:t>,</w:t>
      </w:r>
      <w:r w:rsidRPr="006333CC">
        <w:rPr>
          <w:rFonts w:ascii="Times New Roman" w:eastAsia="Times New Roman" w:hAnsi="Times New Roman" w:cs="Times New Roman"/>
          <w:sz w:val="28"/>
          <w:szCs w:val="28"/>
        </w:rPr>
        <w:t xml:space="preserve"> de la dette intérieure ;</w:t>
      </w:r>
    </w:p>
    <w:p w14:paraId="0E5AD0F9"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d'exécution des 5 000 Mds levés auprès des banques primaires ;</w:t>
      </w:r>
    </w:p>
    <w:p w14:paraId="4D0F986E"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d’exécution des dépenses de transferts Payés par département ministériel ;</w:t>
      </w:r>
    </w:p>
    <w:p w14:paraId="6A5781BC"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retard dans le paiement de la subvention du secteur de l’énergie ;</w:t>
      </w:r>
    </w:p>
    <w:p w14:paraId="6AEDA36F"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lastRenderedPageBreak/>
        <w:t>le niveau d’exécution des conventions de crédits dont le CNT a autorisé la ratification ;</w:t>
      </w:r>
    </w:p>
    <w:p w14:paraId="39A3B7F6" w14:textId="3FDF33F5"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les mesures concrètes prises pour soutenir les entreprises et les ménages comme indiqué dans la lettre de cadr</w:t>
      </w:r>
      <w:r w:rsidR="00476D08" w:rsidRPr="006333CC">
        <w:rPr>
          <w:rFonts w:ascii="Times New Roman" w:eastAsia="Times New Roman" w:hAnsi="Times New Roman" w:cs="Times New Roman"/>
          <w:sz w:val="28"/>
          <w:szCs w:val="28"/>
        </w:rPr>
        <w:t>age</w:t>
      </w:r>
      <w:r w:rsidRPr="006333CC">
        <w:rPr>
          <w:rFonts w:ascii="Times New Roman" w:eastAsia="Times New Roman" w:hAnsi="Times New Roman" w:cs="Times New Roman"/>
          <w:sz w:val="28"/>
          <w:szCs w:val="28"/>
        </w:rPr>
        <w:t> ;</w:t>
      </w:r>
    </w:p>
    <w:p w14:paraId="58D51BBA"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déficit budgétaire ;</w:t>
      </w:r>
    </w:p>
    <w:p w14:paraId="029593BA" w14:textId="18D42D2E" w:rsidR="00E942D2" w:rsidRPr="006333CC" w:rsidRDefault="00E942D2" w:rsidP="00E858A7">
      <w:pPr>
        <w:pStyle w:val="Paragraphedeliste"/>
        <w:numPr>
          <w:ilvl w:val="0"/>
          <w:numId w:val="2"/>
        </w:numPr>
        <w:jc w:val="both"/>
        <w:rPr>
          <w:rFonts w:ascii="Times New Roman" w:eastAsia="Times New Roman" w:hAnsi="Times New Roman" w:cs="Times New Roman"/>
          <w:sz w:val="28"/>
          <w:szCs w:val="28"/>
        </w:rPr>
      </w:pPr>
      <w:r w:rsidRPr="006333CC">
        <w:rPr>
          <w:rFonts w:ascii="Times New Roman" w:eastAsia="Times New Roman" w:hAnsi="Times New Roman" w:cs="Times New Roman"/>
          <w:sz w:val="28"/>
          <w:szCs w:val="28"/>
        </w:rPr>
        <w:t xml:space="preserve">la mobilisation des </w:t>
      </w:r>
      <w:r w:rsidR="00476D08" w:rsidRPr="006333CC">
        <w:rPr>
          <w:rFonts w:ascii="Times New Roman" w:eastAsia="Times New Roman" w:hAnsi="Times New Roman" w:cs="Times New Roman"/>
          <w:sz w:val="28"/>
          <w:szCs w:val="28"/>
        </w:rPr>
        <w:t>appuis</w:t>
      </w:r>
      <w:r w:rsidRPr="006333CC">
        <w:rPr>
          <w:rFonts w:ascii="Times New Roman" w:eastAsia="Times New Roman" w:hAnsi="Times New Roman" w:cs="Times New Roman"/>
          <w:sz w:val="28"/>
          <w:szCs w:val="28"/>
        </w:rPr>
        <w:t xml:space="preserve"> budgétaires ;</w:t>
      </w:r>
    </w:p>
    <w:p w14:paraId="3F51024A" w14:textId="68FA2644"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 xml:space="preserve">l’impact de l’explosion du dépôt </w:t>
      </w:r>
      <w:r w:rsidR="00EB78AF" w:rsidRPr="006333CC">
        <w:rPr>
          <w:rFonts w:ascii="Times New Roman" w:eastAsia="Times New Roman" w:hAnsi="Times New Roman" w:cs="Times New Roman"/>
          <w:sz w:val="28"/>
          <w:szCs w:val="28"/>
        </w:rPr>
        <w:t>des hydrocarbures de Kaloum sur la prévision des dépenses</w:t>
      </w:r>
      <w:r w:rsidRPr="006333CC">
        <w:rPr>
          <w:rFonts w:ascii="Times New Roman" w:eastAsia="Times New Roman" w:hAnsi="Times New Roman" w:cs="Times New Roman"/>
          <w:sz w:val="28"/>
          <w:szCs w:val="28"/>
        </w:rPr>
        <w:t>;</w:t>
      </w:r>
    </w:p>
    <w:p w14:paraId="21D1A1CF"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la baisse du taux de croissance et d’inflation ;</w:t>
      </w:r>
    </w:p>
    <w:p w14:paraId="02395347"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 niveau et la stratégie d’endettement du pays ; </w:t>
      </w:r>
    </w:p>
    <w:p w14:paraId="6C3C6C6F" w14:textId="189C2C58" w:rsidR="00E942D2" w:rsidRPr="006333CC" w:rsidRDefault="00EB78AF"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les mesures envisagées</w:t>
      </w:r>
      <w:r w:rsidR="00E942D2" w:rsidRPr="006333CC">
        <w:rPr>
          <w:rFonts w:ascii="Times New Roman" w:eastAsia="Times New Roman" w:hAnsi="Times New Roman" w:cs="Times New Roman"/>
          <w:sz w:val="28"/>
          <w:szCs w:val="28"/>
        </w:rPr>
        <w:t xml:space="preserve"> pour favoriser l’autosuffisance dans les secteurs de l’énergie et de l’eau ;</w:t>
      </w:r>
    </w:p>
    <w:p w14:paraId="6518CD85"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les dispositions dans le PLFI 2024 pour renforcer et accélérer la construction des infrastructures routières dans les zones à fort potentiel agricole et dans les localités où le problème de désenclavement se pose avec acuité ;</w:t>
      </w:r>
    </w:p>
    <w:p w14:paraId="03914727"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la dotation des services de protection civile ;</w:t>
      </w:r>
    </w:p>
    <w:p w14:paraId="776362DB"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 xml:space="preserve">le recrutement des enseignants contractuels ; </w:t>
      </w:r>
    </w:p>
    <w:p w14:paraId="3AD45489"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la construction des infrastructures de base sur les îles de Loos ;</w:t>
      </w:r>
    </w:p>
    <w:p w14:paraId="7EBBD1AD" w14:textId="77777777"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la construction  des marchés de produits agricoles et des chambres froides ;</w:t>
      </w:r>
    </w:p>
    <w:p w14:paraId="5B2B78E9" w14:textId="36CAB7CD" w:rsidR="00E942D2" w:rsidRPr="006333CC" w:rsidRDefault="00E942D2" w:rsidP="00E858A7">
      <w:pPr>
        <w:pStyle w:val="Paragraphedeliste"/>
        <w:numPr>
          <w:ilvl w:val="0"/>
          <w:numId w:val="2"/>
        </w:numPr>
        <w:jc w:val="both"/>
        <w:rPr>
          <w:rFonts w:ascii="Times New Roman" w:hAnsi="Times New Roman" w:cs="Times New Roman"/>
          <w:sz w:val="28"/>
          <w:szCs w:val="28"/>
        </w:rPr>
      </w:pPr>
      <w:r w:rsidRPr="006333CC">
        <w:rPr>
          <w:rFonts w:ascii="Times New Roman" w:eastAsia="Times New Roman" w:hAnsi="Times New Roman" w:cs="Times New Roman"/>
          <w:sz w:val="28"/>
          <w:szCs w:val="28"/>
        </w:rPr>
        <w:t xml:space="preserve">les mesures envisagées pour accélérer la construction des logements des préfets et gouverneurs ainsi que la rénovation des Villas </w:t>
      </w:r>
      <w:proofErr w:type="spellStart"/>
      <w:r w:rsidR="00EB78AF" w:rsidRPr="006333CC">
        <w:rPr>
          <w:rFonts w:ascii="Times New Roman" w:eastAsia="Times New Roman" w:hAnsi="Times New Roman" w:cs="Times New Roman"/>
          <w:sz w:val="28"/>
          <w:szCs w:val="28"/>
        </w:rPr>
        <w:t>Si</w:t>
      </w:r>
      <w:r w:rsidRPr="006333CC">
        <w:rPr>
          <w:rFonts w:ascii="Times New Roman" w:eastAsia="Times New Roman" w:hAnsi="Times New Roman" w:cs="Times New Roman"/>
          <w:sz w:val="28"/>
          <w:szCs w:val="28"/>
        </w:rPr>
        <w:t>ly</w:t>
      </w:r>
      <w:proofErr w:type="spellEnd"/>
      <w:r w:rsidR="00C632CB" w:rsidRPr="006333CC">
        <w:rPr>
          <w:rFonts w:ascii="Times New Roman" w:eastAsia="Times New Roman" w:hAnsi="Times New Roman" w:cs="Times New Roman"/>
          <w:sz w:val="28"/>
          <w:szCs w:val="28"/>
        </w:rPr>
        <w:t>.</w:t>
      </w:r>
      <w:r w:rsidRPr="006333CC">
        <w:rPr>
          <w:rFonts w:ascii="Times New Roman" w:eastAsia="Times New Roman" w:hAnsi="Times New Roman" w:cs="Times New Roman"/>
          <w:sz w:val="28"/>
          <w:szCs w:val="28"/>
        </w:rPr>
        <w:t> </w:t>
      </w:r>
    </w:p>
    <w:p w14:paraId="2DCA57FD" w14:textId="77777777" w:rsidR="00E942D2" w:rsidRPr="006333CC" w:rsidRDefault="00E942D2" w:rsidP="00E942D2">
      <w:pPr>
        <w:jc w:val="both"/>
        <w:rPr>
          <w:rFonts w:ascii="Times New Roman" w:hAnsi="Times New Roman" w:cs="Times New Roman"/>
          <w:color w:val="FF0000"/>
          <w:sz w:val="28"/>
          <w:szCs w:val="28"/>
        </w:rPr>
      </w:pPr>
    </w:p>
    <w:p w14:paraId="4401E4CB" w14:textId="77777777" w:rsidR="00E942D2" w:rsidRPr="006333CC" w:rsidRDefault="00E942D2" w:rsidP="00E942D2">
      <w:pPr>
        <w:jc w:val="both"/>
        <w:rPr>
          <w:rFonts w:ascii="Times New Roman" w:hAnsi="Times New Roman" w:cs="Times New Roman"/>
          <w:sz w:val="28"/>
          <w:szCs w:val="28"/>
        </w:rPr>
      </w:pPr>
      <w:r w:rsidRPr="006333CC">
        <w:rPr>
          <w:rFonts w:ascii="Times New Roman" w:hAnsi="Times New Roman" w:cs="Times New Roman"/>
          <w:b/>
          <w:bCs/>
          <w:sz w:val="28"/>
          <w:szCs w:val="28"/>
        </w:rPr>
        <w:t>Honorables Conseillers Nationaux,</w:t>
      </w:r>
    </w:p>
    <w:p w14:paraId="17B31DDC" w14:textId="77777777" w:rsidR="00E942D2" w:rsidRPr="006333CC" w:rsidRDefault="00E942D2" w:rsidP="00E942D2">
      <w:pPr>
        <w:jc w:val="both"/>
        <w:rPr>
          <w:rFonts w:ascii="Times New Roman" w:hAnsi="Times New Roman" w:cs="Times New Roman"/>
          <w:sz w:val="28"/>
          <w:szCs w:val="28"/>
        </w:rPr>
      </w:pPr>
      <w:r w:rsidRPr="006333CC">
        <w:rPr>
          <w:rFonts w:ascii="Times New Roman" w:hAnsi="Times New Roman" w:cs="Times New Roman"/>
          <w:color w:val="FF0000"/>
          <w:sz w:val="28"/>
          <w:szCs w:val="28"/>
        </w:rPr>
        <w:t> </w:t>
      </w:r>
    </w:p>
    <w:p w14:paraId="4D8D39CB" w14:textId="370E86B5" w:rsidR="00E942D2" w:rsidRPr="006333CC" w:rsidRDefault="00E942D2" w:rsidP="00E942D2">
      <w:pPr>
        <w:jc w:val="both"/>
        <w:rPr>
          <w:rFonts w:ascii="Times New Roman" w:hAnsi="Times New Roman" w:cs="Times New Roman"/>
          <w:sz w:val="28"/>
          <w:szCs w:val="28"/>
        </w:rPr>
      </w:pPr>
      <w:r w:rsidRPr="006333CC">
        <w:rPr>
          <w:rFonts w:ascii="Times New Roman" w:hAnsi="Times New Roman" w:cs="Times New Roman"/>
          <w:sz w:val="28"/>
          <w:szCs w:val="28"/>
        </w:rPr>
        <w:t>A la suite des réponses fournies par les ministres et cadres des différents départements</w:t>
      </w:r>
      <w:r w:rsidR="00C1011A" w:rsidRPr="006333CC">
        <w:rPr>
          <w:rFonts w:ascii="Times New Roman" w:hAnsi="Times New Roman" w:cs="Times New Roman"/>
          <w:sz w:val="28"/>
          <w:szCs w:val="28"/>
        </w:rPr>
        <w:t>,</w:t>
      </w:r>
      <w:r w:rsidRPr="006333CC">
        <w:rPr>
          <w:rFonts w:ascii="Times New Roman" w:hAnsi="Times New Roman" w:cs="Times New Roman"/>
          <w:sz w:val="28"/>
          <w:szCs w:val="28"/>
        </w:rPr>
        <w:t xml:space="preserve"> le CNT </w:t>
      </w:r>
      <w:r w:rsidR="00EB78AF" w:rsidRPr="006333CC">
        <w:rPr>
          <w:rFonts w:ascii="Times New Roman" w:hAnsi="Times New Roman" w:cs="Times New Roman"/>
          <w:sz w:val="28"/>
          <w:szCs w:val="28"/>
        </w:rPr>
        <w:t>a fait les constats et recommandations suivantes</w:t>
      </w:r>
      <w:r w:rsidR="00C1011A" w:rsidRPr="006333CC">
        <w:rPr>
          <w:rFonts w:ascii="Times New Roman" w:hAnsi="Times New Roman" w:cs="Times New Roman"/>
          <w:sz w:val="28"/>
          <w:szCs w:val="28"/>
        </w:rPr>
        <w:t xml:space="preserve"> </w:t>
      </w:r>
      <w:r w:rsidRPr="006333CC">
        <w:rPr>
          <w:rFonts w:ascii="Times New Roman" w:hAnsi="Times New Roman" w:cs="Times New Roman"/>
          <w:sz w:val="28"/>
          <w:szCs w:val="28"/>
        </w:rPr>
        <w:t>:</w:t>
      </w:r>
    </w:p>
    <w:p w14:paraId="01C4851D" w14:textId="77777777" w:rsidR="00EB78AF" w:rsidRPr="006333CC" w:rsidRDefault="00EB78AF" w:rsidP="00E942D2">
      <w:pPr>
        <w:jc w:val="both"/>
        <w:rPr>
          <w:rFonts w:ascii="Times New Roman" w:hAnsi="Times New Roman" w:cs="Times New Roman"/>
          <w:sz w:val="28"/>
          <w:szCs w:val="28"/>
        </w:rPr>
      </w:pPr>
    </w:p>
    <w:p w14:paraId="29C6D0FF" w14:textId="309C7065" w:rsidR="004D061A" w:rsidRPr="006333CC" w:rsidRDefault="004D061A" w:rsidP="00E858A7">
      <w:pPr>
        <w:pStyle w:val="Paragraphedeliste"/>
        <w:numPr>
          <w:ilvl w:val="0"/>
          <w:numId w:val="5"/>
        </w:numPr>
        <w:spacing w:line="276"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Il ressort du rapport de l’Inspection Générale des Finances (IGF) un total de </w:t>
      </w:r>
      <w:r w:rsidR="00C1011A" w:rsidRPr="006333CC">
        <w:rPr>
          <w:rFonts w:ascii="Times New Roman" w:hAnsi="Times New Roman" w:cs="Times New Roman"/>
          <w:sz w:val="28"/>
          <w:szCs w:val="28"/>
        </w:rPr>
        <w:t>208 organismes publics</w:t>
      </w:r>
      <w:r w:rsidRPr="006333CC">
        <w:rPr>
          <w:rFonts w:ascii="Times New Roman" w:hAnsi="Times New Roman" w:cs="Times New Roman"/>
          <w:sz w:val="28"/>
          <w:szCs w:val="28"/>
        </w:rPr>
        <w:t xml:space="preserve">. Ce </w:t>
      </w:r>
      <w:r w:rsidR="006D5230" w:rsidRPr="006333CC">
        <w:rPr>
          <w:rFonts w:ascii="Times New Roman" w:hAnsi="Times New Roman" w:cs="Times New Roman"/>
          <w:sz w:val="28"/>
          <w:szCs w:val="28"/>
        </w:rPr>
        <w:t>nombre pléthorique</w:t>
      </w:r>
      <w:r w:rsidRPr="006333CC">
        <w:rPr>
          <w:rFonts w:ascii="Times New Roman" w:hAnsi="Times New Roman" w:cs="Times New Roman"/>
          <w:sz w:val="28"/>
          <w:szCs w:val="28"/>
        </w:rPr>
        <w:t xml:space="preserve"> impacte négativement les finances publiques et la mutualisation des efforts</w:t>
      </w:r>
      <w:r w:rsidR="00C1011A" w:rsidRPr="006333CC">
        <w:rPr>
          <w:rFonts w:ascii="Times New Roman" w:hAnsi="Times New Roman" w:cs="Times New Roman"/>
          <w:sz w:val="28"/>
          <w:szCs w:val="28"/>
        </w:rPr>
        <w:t>. De même, bon nombre de ces organismes</w:t>
      </w:r>
      <w:r w:rsidRPr="006333CC">
        <w:rPr>
          <w:rFonts w:ascii="Times New Roman" w:hAnsi="Times New Roman" w:cs="Times New Roman"/>
          <w:sz w:val="28"/>
          <w:szCs w:val="28"/>
        </w:rPr>
        <w:t xml:space="preserve"> ont parfois </w:t>
      </w:r>
      <w:r w:rsidR="006D5230" w:rsidRPr="006333CC">
        <w:rPr>
          <w:rFonts w:ascii="Times New Roman" w:hAnsi="Times New Roman" w:cs="Times New Roman"/>
          <w:sz w:val="28"/>
          <w:szCs w:val="28"/>
        </w:rPr>
        <w:t>des objectifs</w:t>
      </w:r>
      <w:r w:rsidRPr="006333CC">
        <w:rPr>
          <w:rFonts w:ascii="Times New Roman" w:hAnsi="Times New Roman" w:cs="Times New Roman"/>
          <w:sz w:val="28"/>
          <w:szCs w:val="28"/>
        </w:rPr>
        <w:t xml:space="preserve"> et/ou des missions similaires ou ne sont pas opérationnels. </w:t>
      </w:r>
      <w:r w:rsidR="00C1011A" w:rsidRPr="006333CC">
        <w:rPr>
          <w:rFonts w:ascii="Times New Roman" w:hAnsi="Times New Roman" w:cs="Times New Roman"/>
          <w:sz w:val="28"/>
          <w:szCs w:val="28"/>
        </w:rPr>
        <w:t xml:space="preserve">En ce qui concerne </w:t>
      </w:r>
      <w:r w:rsidR="006D5230" w:rsidRPr="006333CC">
        <w:rPr>
          <w:rFonts w:ascii="Times New Roman" w:hAnsi="Times New Roman" w:cs="Times New Roman"/>
          <w:sz w:val="28"/>
          <w:szCs w:val="28"/>
        </w:rPr>
        <w:t>les EPA</w:t>
      </w:r>
      <w:r w:rsidR="00C1011A" w:rsidRPr="006333CC">
        <w:rPr>
          <w:rFonts w:ascii="Times New Roman" w:hAnsi="Times New Roman" w:cs="Times New Roman"/>
          <w:sz w:val="28"/>
          <w:szCs w:val="28"/>
        </w:rPr>
        <w:t>, ils</w:t>
      </w:r>
      <w:r w:rsidRPr="006333CC">
        <w:rPr>
          <w:rFonts w:ascii="Times New Roman" w:hAnsi="Times New Roman" w:cs="Times New Roman"/>
          <w:sz w:val="28"/>
          <w:szCs w:val="28"/>
        </w:rPr>
        <w:t xml:space="preserve"> </w:t>
      </w:r>
      <w:r w:rsidR="00C1011A" w:rsidRPr="006333CC">
        <w:rPr>
          <w:rFonts w:ascii="Times New Roman" w:hAnsi="Times New Roman" w:cs="Times New Roman"/>
          <w:sz w:val="28"/>
          <w:szCs w:val="28"/>
        </w:rPr>
        <w:t>ont absorbé</w:t>
      </w:r>
      <w:r w:rsidRPr="006333CC">
        <w:rPr>
          <w:rFonts w:ascii="Times New Roman" w:hAnsi="Times New Roman" w:cs="Times New Roman"/>
          <w:sz w:val="28"/>
          <w:szCs w:val="28"/>
        </w:rPr>
        <w:t xml:space="preserve"> plus de </w:t>
      </w:r>
      <w:r w:rsidR="00EB78AF" w:rsidRPr="006333CC">
        <w:rPr>
          <w:rFonts w:ascii="Times New Roman" w:hAnsi="Times New Roman" w:cs="Times New Roman"/>
          <w:sz w:val="28"/>
          <w:szCs w:val="28"/>
        </w:rPr>
        <w:t xml:space="preserve">1492,67 Mds </w:t>
      </w:r>
      <w:r w:rsidR="00C1011A" w:rsidRPr="006333CC">
        <w:rPr>
          <w:rFonts w:ascii="Times New Roman" w:hAnsi="Times New Roman" w:cs="Times New Roman"/>
          <w:sz w:val="28"/>
          <w:szCs w:val="28"/>
        </w:rPr>
        <w:t xml:space="preserve">de GNF </w:t>
      </w:r>
      <w:r w:rsidR="00EB78AF" w:rsidRPr="006333CC">
        <w:rPr>
          <w:rFonts w:ascii="Times New Roman" w:hAnsi="Times New Roman" w:cs="Times New Roman"/>
          <w:sz w:val="28"/>
          <w:szCs w:val="28"/>
        </w:rPr>
        <w:t>en LFR</w:t>
      </w:r>
      <w:r w:rsidR="00C1011A" w:rsidRPr="006333CC">
        <w:rPr>
          <w:rFonts w:ascii="Times New Roman" w:hAnsi="Times New Roman" w:cs="Times New Roman"/>
          <w:sz w:val="28"/>
          <w:szCs w:val="28"/>
        </w:rPr>
        <w:t xml:space="preserve"> 2023</w:t>
      </w:r>
      <w:r w:rsidRPr="006333CC">
        <w:rPr>
          <w:rFonts w:ascii="Times New Roman" w:hAnsi="Times New Roman" w:cs="Times New Roman"/>
          <w:sz w:val="28"/>
          <w:szCs w:val="28"/>
        </w:rPr>
        <w:t xml:space="preserve"> au titre des subventions. </w:t>
      </w:r>
    </w:p>
    <w:p w14:paraId="4B4C95B0" w14:textId="77777777" w:rsidR="004D061A" w:rsidRPr="006333CC" w:rsidRDefault="004D061A" w:rsidP="00C632CB">
      <w:pPr>
        <w:ind w:left="360"/>
        <w:jc w:val="both"/>
        <w:rPr>
          <w:rFonts w:ascii="Times New Roman" w:hAnsi="Times New Roman" w:cs="Times New Roman"/>
          <w:sz w:val="28"/>
          <w:szCs w:val="28"/>
        </w:rPr>
      </w:pPr>
      <w:r w:rsidRPr="006333CC">
        <w:rPr>
          <w:rFonts w:ascii="Times New Roman" w:hAnsi="Times New Roman" w:cs="Times New Roman"/>
          <w:sz w:val="28"/>
          <w:szCs w:val="28"/>
        </w:rPr>
        <w:t xml:space="preserve">Partant de ce constat peu reluisant et dans le souci d’améliorer la qualité des dépenses publiques, le CNT recommande de : </w:t>
      </w:r>
    </w:p>
    <w:p w14:paraId="368E84A8" w14:textId="77777777" w:rsidR="00E67F77" w:rsidRPr="006333CC" w:rsidRDefault="00E67F77" w:rsidP="00EB78AF">
      <w:pPr>
        <w:ind w:left="708"/>
        <w:jc w:val="both"/>
        <w:rPr>
          <w:rFonts w:ascii="Times New Roman" w:hAnsi="Times New Roman" w:cs="Times New Roman"/>
          <w:sz w:val="28"/>
          <w:szCs w:val="28"/>
        </w:rPr>
      </w:pPr>
    </w:p>
    <w:p w14:paraId="54174C9D" w14:textId="6731475A" w:rsidR="004D061A" w:rsidRPr="006333CC" w:rsidRDefault="004D061A" w:rsidP="00E858A7">
      <w:pPr>
        <w:pStyle w:val="Paragraphedeliste"/>
        <w:numPr>
          <w:ilvl w:val="0"/>
          <w:numId w:val="6"/>
        </w:numPr>
        <w:spacing w:after="160" w:line="259" w:lineRule="auto"/>
        <w:ind w:left="709" w:hanging="283"/>
        <w:jc w:val="both"/>
        <w:rPr>
          <w:rFonts w:ascii="Times New Roman" w:hAnsi="Times New Roman" w:cs="Times New Roman"/>
          <w:b/>
          <w:bCs/>
          <w:sz w:val="28"/>
          <w:szCs w:val="28"/>
        </w:rPr>
      </w:pPr>
      <w:r w:rsidRPr="006333CC">
        <w:rPr>
          <w:rFonts w:ascii="Times New Roman" w:hAnsi="Times New Roman" w:cs="Times New Roman"/>
          <w:b/>
          <w:bCs/>
          <w:sz w:val="28"/>
          <w:szCs w:val="28"/>
        </w:rPr>
        <w:lastRenderedPageBreak/>
        <w:t>fusionner  certains EPA</w:t>
      </w:r>
      <w:r w:rsidR="00E67F77" w:rsidRPr="006333CC">
        <w:rPr>
          <w:rFonts w:ascii="Times New Roman" w:hAnsi="Times New Roman" w:cs="Times New Roman"/>
          <w:b/>
          <w:bCs/>
          <w:sz w:val="28"/>
          <w:szCs w:val="28"/>
        </w:rPr>
        <w:t> :</w:t>
      </w:r>
    </w:p>
    <w:p w14:paraId="1CE30E69" w14:textId="057B0533" w:rsidR="004D061A" w:rsidRPr="006333CC" w:rsidRDefault="00E67F77" w:rsidP="00C1011A">
      <w:pPr>
        <w:spacing w:after="160" w:line="259" w:lineRule="auto"/>
        <w:ind w:left="708"/>
        <w:jc w:val="both"/>
        <w:rPr>
          <w:rFonts w:ascii="Times New Roman" w:hAnsi="Times New Roman" w:cs="Times New Roman"/>
          <w:sz w:val="28"/>
          <w:szCs w:val="28"/>
        </w:rPr>
      </w:pPr>
      <w:r w:rsidRPr="006333CC">
        <w:rPr>
          <w:rFonts w:ascii="Times New Roman" w:hAnsi="Times New Roman" w:cs="Times New Roman"/>
          <w:sz w:val="28"/>
          <w:szCs w:val="28"/>
        </w:rPr>
        <w:t xml:space="preserve">à titre d’exemple, </w:t>
      </w:r>
      <w:r w:rsidR="004D061A" w:rsidRPr="006333CC">
        <w:rPr>
          <w:rFonts w:ascii="Times New Roman" w:hAnsi="Times New Roman" w:cs="Times New Roman"/>
          <w:sz w:val="28"/>
          <w:szCs w:val="28"/>
        </w:rPr>
        <w:t>selon le rapport de l’IGF, le Centre d’Appui et de Démonstration de l’Elevage de Boké, le Centre d’Appui et de Démonstration de l’Elevage de Ditinn, le Centre d’Appui et de Démonstration de l’Elevage Famoila et le Centre de Formation de l’Elevage de Labé-CEFEL ; tous ces EPA relevant du Ministère de l’Agriculture et de l’Elevage pourraient être fusionnés en un seul, avec des antennes spécialisées.</w:t>
      </w:r>
    </w:p>
    <w:p w14:paraId="05E1FDBA" w14:textId="7451B2EE" w:rsidR="00D84B85" w:rsidRPr="006333CC" w:rsidRDefault="00D84B85" w:rsidP="00D84B85">
      <w:pPr>
        <w:spacing w:before="240"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L’Agence de Financement des Communes de Conakry-AFICCON et l’ANAFIC peuvent-être fusionnées ;</w:t>
      </w:r>
    </w:p>
    <w:p w14:paraId="49CF6B7D" w14:textId="754199B9" w:rsidR="00D84B85" w:rsidRPr="006333CC" w:rsidRDefault="00D84B85" w:rsidP="00E858A7">
      <w:pPr>
        <w:pStyle w:val="Paragraphedeliste"/>
        <w:numPr>
          <w:ilvl w:val="0"/>
          <w:numId w:val="8"/>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Le Fond de Développement Social et de la Solidarité-FDSS et </w:t>
      </w:r>
      <w:r w:rsidR="00A9745C" w:rsidRPr="006333CC">
        <w:rPr>
          <w:rFonts w:ascii="Times New Roman" w:hAnsi="Times New Roman" w:cs="Times New Roman"/>
          <w:sz w:val="28"/>
          <w:szCs w:val="28"/>
        </w:rPr>
        <w:t>l’ANIES peuvent</w:t>
      </w:r>
      <w:r w:rsidRPr="006333CC">
        <w:rPr>
          <w:rFonts w:ascii="Times New Roman" w:hAnsi="Times New Roman" w:cs="Times New Roman"/>
          <w:sz w:val="28"/>
          <w:szCs w:val="28"/>
        </w:rPr>
        <w:t xml:space="preserve">-être fusionnés ;  </w:t>
      </w:r>
    </w:p>
    <w:p w14:paraId="0EAF52ED" w14:textId="76034C66" w:rsidR="00A611CB" w:rsidRPr="006333CC" w:rsidRDefault="00D84B85" w:rsidP="00E858A7">
      <w:pPr>
        <w:pStyle w:val="Paragraphedeliste"/>
        <w:numPr>
          <w:ilvl w:val="0"/>
          <w:numId w:val="8"/>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Fonds de l’Assainissement-FA, et l’Agence Nationale de l'Assainissement et de la Salubrité Publique-(</w:t>
      </w:r>
      <w:r w:rsidR="00A9745C" w:rsidRPr="006333CC">
        <w:rPr>
          <w:rFonts w:ascii="Times New Roman" w:hAnsi="Times New Roman" w:cs="Times New Roman"/>
          <w:sz w:val="28"/>
          <w:szCs w:val="28"/>
        </w:rPr>
        <w:t>ANASP) peuvent</w:t>
      </w:r>
      <w:r w:rsidRPr="006333CC">
        <w:rPr>
          <w:rFonts w:ascii="Times New Roman" w:hAnsi="Times New Roman" w:cs="Times New Roman"/>
          <w:sz w:val="28"/>
          <w:szCs w:val="28"/>
        </w:rPr>
        <w:t xml:space="preserve"> être fusionnés ;</w:t>
      </w:r>
    </w:p>
    <w:p w14:paraId="45237825" w14:textId="77777777" w:rsidR="00D84B85" w:rsidRPr="006333CC" w:rsidRDefault="00D84B85" w:rsidP="00E858A7">
      <w:pPr>
        <w:pStyle w:val="Paragraphedeliste"/>
        <w:numPr>
          <w:ilvl w:val="0"/>
          <w:numId w:val="8"/>
        </w:numPr>
        <w:spacing w:after="160" w:line="259" w:lineRule="auto"/>
        <w:jc w:val="both"/>
        <w:rPr>
          <w:rFonts w:ascii="Times New Roman" w:hAnsi="Times New Roman" w:cs="Times New Roman"/>
          <w:sz w:val="28"/>
          <w:szCs w:val="28"/>
        </w:rPr>
      </w:pPr>
    </w:p>
    <w:p w14:paraId="4DAC90C9" w14:textId="0A0848EF" w:rsidR="004D061A" w:rsidRPr="006333CC" w:rsidRDefault="004D061A" w:rsidP="00E858A7">
      <w:pPr>
        <w:pStyle w:val="Paragraphedeliste"/>
        <w:numPr>
          <w:ilvl w:val="0"/>
          <w:numId w:val="6"/>
        </w:numPr>
        <w:spacing w:after="160" w:line="259" w:lineRule="auto"/>
        <w:ind w:left="709" w:hanging="283"/>
        <w:jc w:val="both"/>
        <w:rPr>
          <w:rFonts w:ascii="Times New Roman" w:hAnsi="Times New Roman" w:cs="Times New Roman"/>
          <w:b/>
          <w:bCs/>
          <w:sz w:val="28"/>
          <w:szCs w:val="28"/>
        </w:rPr>
      </w:pPr>
      <w:bookmarkStart w:id="4" w:name="_Hlk121363197"/>
      <w:r w:rsidRPr="006333CC">
        <w:rPr>
          <w:rFonts w:ascii="Times New Roman" w:hAnsi="Times New Roman" w:cs="Times New Roman"/>
          <w:b/>
          <w:bCs/>
          <w:sz w:val="28"/>
          <w:szCs w:val="28"/>
        </w:rPr>
        <w:t>transformer certains EPA en Sociétés publiques</w:t>
      </w:r>
      <w:bookmarkEnd w:id="4"/>
      <w:r w:rsidRPr="006333CC">
        <w:rPr>
          <w:rFonts w:ascii="Times New Roman" w:hAnsi="Times New Roman" w:cs="Times New Roman"/>
          <w:b/>
          <w:bCs/>
          <w:sz w:val="28"/>
          <w:szCs w:val="28"/>
        </w:rPr>
        <w:t xml:space="preserve"> notamment</w:t>
      </w:r>
      <w:r w:rsidR="00E67F77" w:rsidRPr="006333CC">
        <w:rPr>
          <w:rFonts w:ascii="Times New Roman" w:hAnsi="Times New Roman" w:cs="Times New Roman"/>
          <w:sz w:val="28"/>
          <w:szCs w:val="28"/>
        </w:rPr>
        <w:t>, à titre d’exemple</w:t>
      </w:r>
    </w:p>
    <w:p w14:paraId="703B4329" w14:textId="45692EA1" w:rsidR="004D061A" w:rsidRPr="006333CC" w:rsidRDefault="00E67F77" w:rsidP="00C1011A">
      <w:pPr>
        <w:spacing w:after="160" w:line="259" w:lineRule="auto"/>
        <w:ind w:left="708"/>
        <w:jc w:val="both"/>
        <w:rPr>
          <w:rFonts w:ascii="Times New Roman" w:hAnsi="Times New Roman" w:cs="Times New Roman"/>
          <w:sz w:val="28"/>
          <w:szCs w:val="28"/>
        </w:rPr>
      </w:pPr>
      <w:r w:rsidRPr="006333CC">
        <w:rPr>
          <w:rFonts w:ascii="Times New Roman" w:hAnsi="Times New Roman" w:cs="Times New Roman"/>
          <w:sz w:val="28"/>
          <w:szCs w:val="28"/>
        </w:rPr>
        <w:t>l</w:t>
      </w:r>
      <w:r w:rsidR="004D061A" w:rsidRPr="006333CC">
        <w:rPr>
          <w:rFonts w:ascii="Times New Roman" w:hAnsi="Times New Roman" w:cs="Times New Roman"/>
          <w:sz w:val="28"/>
          <w:szCs w:val="28"/>
        </w:rPr>
        <w:t>’Agence de Transformation des déchets solides en Energie-ATDSE (EPA du Ministère de</w:t>
      </w:r>
      <w:r w:rsidR="00D84B85" w:rsidRPr="006333CC">
        <w:rPr>
          <w:rFonts w:ascii="Times New Roman" w:hAnsi="Times New Roman" w:cs="Times New Roman"/>
          <w:sz w:val="28"/>
          <w:szCs w:val="28"/>
        </w:rPr>
        <w:t>=</w:t>
      </w:r>
      <w:r w:rsidR="004D061A" w:rsidRPr="006333CC">
        <w:rPr>
          <w:rFonts w:ascii="Times New Roman" w:hAnsi="Times New Roman" w:cs="Times New Roman"/>
          <w:sz w:val="28"/>
          <w:szCs w:val="28"/>
        </w:rPr>
        <w:t>l’Energie, de l’Hydraulique et des Hydrocarbures) et le Centre de Recherche et de Gestion des Déchets-CREGED (EPA du Ministère de l'Enseignement Supérieur, de la Recherche Scientifique et de l’Innovation)  pourraient être fusionnés et transformés en une société publique.</w:t>
      </w:r>
    </w:p>
    <w:p w14:paraId="2C8C7B6D" w14:textId="6A4D488C" w:rsidR="004D061A" w:rsidRPr="006333CC" w:rsidRDefault="004D061A" w:rsidP="00E858A7">
      <w:pPr>
        <w:pStyle w:val="Paragraphedeliste"/>
        <w:numPr>
          <w:ilvl w:val="0"/>
          <w:numId w:val="6"/>
        </w:numPr>
        <w:spacing w:after="160" w:line="259" w:lineRule="auto"/>
        <w:ind w:left="709" w:hanging="283"/>
        <w:jc w:val="both"/>
        <w:rPr>
          <w:rFonts w:ascii="Times New Roman" w:hAnsi="Times New Roman" w:cs="Times New Roman"/>
          <w:b/>
          <w:bCs/>
          <w:sz w:val="28"/>
          <w:szCs w:val="28"/>
        </w:rPr>
      </w:pPr>
      <w:r w:rsidRPr="006333CC">
        <w:rPr>
          <w:rFonts w:ascii="Times New Roman" w:hAnsi="Times New Roman" w:cs="Times New Roman"/>
          <w:b/>
          <w:bCs/>
          <w:sz w:val="28"/>
          <w:szCs w:val="28"/>
        </w:rPr>
        <w:t>transformer d’autres  en Autorités de régulation</w:t>
      </w:r>
      <w:r w:rsidR="00E67F77" w:rsidRPr="006333CC">
        <w:rPr>
          <w:rFonts w:ascii="Times New Roman" w:hAnsi="Times New Roman" w:cs="Times New Roman"/>
          <w:sz w:val="28"/>
          <w:szCs w:val="28"/>
        </w:rPr>
        <w:t>, à titre d’exemple</w:t>
      </w:r>
    </w:p>
    <w:p w14:paraId="4C6E3B1C" w14:textId="1743837F" w:rsidR="004D061A" w:rsidRPr="006333CC" w:rsidRDefault="004D061A" w:rsidP="00D84B85">
      <w:pPr>
        <w:spacing w:after="160" w:line="259" w:lineRule="auto"/>
        <w:ind w:left="708"/>
        <w:jc w:val="both"/>
        <w:rPr>
          <w:rFonts w:ascii="Times New Roman" w:hAnsi="Times New Roman" w:cs="Times New Roman"/>
          <w:sz w:val="28"/>
          <w:szCs w:val="28"/>
        </w:rPr>
      </w:pPr>
      <w:bookmarkStart w:id="5" w:name="_Hlk121362290"/>
      <w:r w:rsidRPr="006333CC">
        <w:rPr>
          <w:rFonts w:ascii="Times New Roman" w:hAnsi="Times New Roman" w:cs="Times New Roman"/>
          <w:sz w:val="28"/>
          <w:szCs w:val="28"/>
        </w:rPr>
        <w:t>l’Autorité de régulation du Transport fluviomaritime-ARTFM, l’Autorité Organisatrice du Transport Urbain à Conakry-AOTUC et Autorité Guinéenne de la Navigation Civile-AGAC  en une seule autorité de régulation chargée de réguler les transports maritime, fluvial, aérien et terrestr</w:t>
      </w:r>
      <w:bookmarkEnd w:id="5"/>
      <w:r w:rsidRPr="006333CC">
        <w:rPr>
          <w:rFonts w:ascii="Times New Roman" w:hAnsi="Times New Roman" w:cs="Times New Roman"/>
          <w:sz w:val="28"/>
          <w:szCs w:val="28"/>
        </w:rPr>
        <w:t>e.</w:t>
      </w:r>
    </w:p>
    <w:p w14:paraId="3BDE7E9C" w14:textId="77777777" w:rsidR="004D061A" w:rsidRPr="006333CC" w:rsidRDefault="004D061A" w:rsidP="00E858A7">
      <w:pPr>
        <w:pStyle w:val="Paragraphedeliste"/>
        <w:numPr>
          <w:ilvl w:val="0"/>
          <w:numId w:val="6"/>
        </w:numPr>
        <w:spacing w:after="160" w:line="259" w:lineRule="auto"/>
        <w:ind w:left="709" w:hanging="283"/>
        <w:jc w:val="both"/>
        <w:rPr>
          <w:rFonts w:ascii="Times New Roman" w:hAnsi="Times New Roman" w:cs="Times New Roman"/>
          <w:b/>
          <w:bCs/>
          <w:sz w:val="28"/>
          <w:szCs w:val="28"/>
        </w:rPr>
      </w:pPr>
      <w:r w:rsidRPr="006333CC">
        <w:rPr>
          <w:rFonts w:ascii="Times New Roman" w:hAnsi="Times New Roman" w:cs="Times New Roman"/>
          <w:b/>
          <w:bCs/>
          <w:sz w:val="28"/>
          <w:szCs w:val="28"/>
        </w:rPr>
        <w:t>redynamiser ceux qui peuvent l’être, </w:t>
      </w:r>
      <w:r w:rsidRPr="006333CC">
        <w:rPr>
          <w:rFonts w:ascii="Times New Roman" w:hAnsi="Times New Roman" w:cs="Times New Roman"/>
          <w:sz w:val="28"/>
          <w:szCs w:val="28"/>
        </w:rPr>
        <w:t>à titre d’exemple :</w:t>
      </w:r>
      <w:r w:rsidRPr="006333CC">
        <w:rPr>
          <w:rFonts w:ascii="Times New Roman" w:hAnsi="Times New Roman" w:cs="Times New Roman"/>
          <w:b/>
          <w:bCs/>
          <w:sz w:val="28"/>
          <w:szCs w:val="28"/>
        </w:rPr>
        <w:t xml:space="preserve">  </w:t>
      </w:r>
    </w:p>
    <w:p w14:paraId="61ABED8D" w14:textId="77777777" w:rsidR="004D061A" w:rsidRPr="006333CC" w:rsidRDefault="004D061A" w:rsidP="00E858A7">
      <w:pPr>
        <w:pStyle w:val="Paragraphedeliste"/>
        <w:numPr>
          <w:ilvl w:val="0"/>
          <w:numId w:val="8"/>
        </w:numPr>
        <w:spacing w:before="240"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lastRenderedPageBreak/>
        <w:t>l’Agence Nationale de Promotion Rurale et de Conseil Agricole-ANPROCA (EPA, en cessation d’activités ; mais pourtant indispensable au développement agricole) ;</w:t>
      </w:r>
    </w:p>
    <w:p w14:paraId="1BC533FC" w14:textId="77777777" w:rsidR="004D061A" w:rsidRPr="006333CC" w:rsidRDefault="004D061A" w:rsidP="00E858A7">
      <w:pPr>
        <w:pStyle w:val="Paragraphedeliste"/>
        <w:numPr>
          <w:ilvl w:val="0"/>
          <w:numId w:val="8"/>
        </w:numPr>
        <w:spacing w:before="240"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Air Guinée Internationale-AGI (Société, en cessation d’activité ; à redynamiser) ;</w:t>
      </w:r>
    </w:p>
    <w:p w14:paraId="77680463" w14:textId="77777777" w:rsidR="004D061A" w:rsidRPr="006333CC" w:rsidRDefault="004D061A" w:rsidP="00E858A7">
      <w:pPr>
        <w:pStyle w:val="Paragraphedeliste"/>
        <w:numPr>
          <w:ilvl w:val="0"/>
          <w:numId w:val="8"/>
        </w:numPr>
        <w:spacing w:before="240"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Société d'aquaculture de Koba-SAKOBA (Société, en cessation d’activité ; à redynamiser) </w:t>
      </w:r>
    </w:p>
    <w:p w14:paraId="6C7D52DB" w14:textId="77777777" w:rsidR="004D061A" w:rsidRPr="006333CC" w:rsidRDefault="004D061A" w:rsidP="004D061A">
      <w:pPr>
        <w:pStyle w:val="Paragraphedeliste"/>
        <w:spacing w:after="160" w:line="259" w:lineRule="auto"/>
        <w:jc w:val="both"/>
        <w:rPr>
          <w:rFonts w:ascii="Times New Roman" w:hAnsi="Times New Roman" w:cs="Times New Roman"/>
          <w:sz w:val="28"/>
          <w:szCs w:val="28"/>
        </w:rPr>
      </w:pPr>
    </w:p>
    <w:p w14:paraId="1EE0965E" w14:textId="77777777"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dans le cadre du processus de retour à l’ordre constitutionnel, sur un budget de 400 Mds affecté au MATD en 2023 ; 279 Mds GNF ont déjà été engagés et pris en charge comptable pour l’organisation des élections.</w:t>
      </w:r>
    </w:p>
    <w:p w14:paraId="28F562E6" w14:textId="77777777" w:rsidR="004D061A" w:rsidRPr="006333CC" w:rsidRDefault="004D061A" w:rsidP="00C632CB">
      <w:pPr>
        <w:ind w:left="360"/>
        <w:jc w:val="both"/>
        <w:rPr>
          <w:rFonts w:ascii="Times New Roman" w:hAnsi="Times New Roman" w:cs="Times New Roman"/>
          <w:sz w:val="28"/>
          <w:szCs w:val="28"/>
        </w:rPr>
      </w:pPr>
      <w:r w:rsidRPr="006333CC">
        <w:rPr>
          <w:rFonts w:ascii="Times New Roman" w:hAnsi="Times New Roman" w:cs="Times New Roman"/>
          <w:sz w:val="28"/>
          <w:szCs w:val="28"/>
        </w:rPr>
        <w:t xml:space="preserve">Etant donné que les élections représentent un enjeu majeur pour le retour à l’ordre constitutionnel, </w:t>
      </w:r>
      <w:r w:rsidRPr="006333CC">
        <w:rPr>
          <w:rFonts w:ascii="Times New Roman" w:hAnsi="Times New Roman" w:cs="Times New Roman"/>
          <w:b/>
          <w:bCs/>
          <w:sz w:val="28"/>
          <w:szCs w:val="28"/>
        </w:rPr>
        <w:t>le CNT recommande l'accélération du processus comptable en vue du  paiement effectif du montant planifié et la mobilisation du reste des ressources</w:t>
      </w:r>
      <w:r w:rsidRPr="006333CC">
        <w:rPr>
          <w:rFonts w:ascii="Times New Roman" w:hAnsi="Times New Roman" w:cs="Times New Roman"/>
          <w:sz w:val="28"/>
          <w:szCs w:val="28"/>
        </w:rPr>
        <w:t>.</w:t>
      </w:r>
    </w:p>
    <w:p w14:paraId="0DC917D7" w14:textId="77777777" w:rsidR="00C632CB" w:rsidRPr="006333CC" w:rsidRDefault="00C632CB" w:rsidP="00C632CB">
      <w:pPr>
        <w:ind w:left="360"/>
        <w:jc w:val="both"/>
        <w:rPr>
          <w:rFonts w:ascii="Times New Roman" w:hAnsi="Times New Roman" w:cs="Times New Roman"/>
          <w:sz w:val="28"/>
          <w:szCs w:val="28"/>
        </w:rPr>
      </w:pPr>
    </w:p>
    <w:p w14:paraId="68DFE7B8" w14:textId="272ACBD9" w:rsidR="004D061A" w:rsidRPr="006333CC" w:rsidRDefault="004D061A" w:rsidP="00E858A7">
      <w:pPr>
        <w:pStyle w:val="Paragraphedeliste"/>
        <w:numPr>
          <w:ilvl w:val="0"/>
          <w:numId w:val="5"/>
        </w:numPr>
        <w:spacing w:after="160" w:line="259" w:lineRule="auto"/>
        <w:jc w:val="both"/>
        <w:rPr>
          <w:rFonts w:ascii="Times New Roman" w:hAnsi="Times New Roman" w:cs="Times New Roman"/>
          <w:b/>
          <w:bCs/>
          <w:sz w:val="28"/>
          <w:szCs w:val="28"/>
        </w:rPr>
      </w:pPr>
      <w:r w:rsidRPr="006333CC">
        <w:rPr>
          <w:rFonts w:ascii="Times New Roman" w:hAnsi="Times New Roman" w:cs="Times New Roman"/>
          <w:sz w:val="28"/>
          <w:szCs w:val="28"/>
        </w:rPr>
        <w:t>Relativement à la préoccupation soulevée par l’ensemble des Ministères lors de l’examen de la LFR 2023, </w:t>
      </w:r>
      <w:r w:rsidRPr="006333CC">
        <w:rPr>
          <w:rFonts w:ascii="Times New Roman" w:hAnsi="Times New Roman" w:cs="Times New Roman"/>
          <w:b/>
          <w:bCs/>
          <w:sz w:val="28"/>
          <w:szCs w:val="28"/>
        </w:rPr>
        <w:t xml:space="preserve">le CNT réitère auprès du Gouvernement sa recommandation portant sur l’optimisation de la procédure de </w:t>
      </w:r>
      <w:r w:rsidR="00C632CB" w:rsidRPr="006333CC">
        <w:rPr>
          <w:rFonts w:ascii="Times New Roman" w:hAnsi="Times New Roman" w:cs="Times New Roman"/>
          <w:b/>
          <w:bCs/>
          <w:sz w:val="28"/>
          <w:szCs w:val="28"/>
        </w:rPr>
        <w:t>passation des</w:t>
      </w:r>
      <w:r w:rsidRPr="006333CC">
        <w:rPr>
          <w:rFonts w:ascii="Times New Roman" w:hAnsi="Times New Roman" w:cs="Times New Roman"/>
          <w:b/>
          <w:bCs/>
          <w:sz w:val="28"/>
          <w:szCs w:val="28"/>
        </w:rPr>
        <w:t xml:space="preserve"> marchés publics à travers la réduction des délais de passation, la revue à la hausse des seuils, la formation des PRMP et la digitalisation du processus.</w:t>
      </w:r>
    </w:p>
    <w:p w14:paraId="19623AB7" w14:textId="77777777" w:rsidR="00C632CB" w:rsidRPr="006333CC" w:rsidRDefault="00C632CB" w:rsidP="00C632CB">
      <w:pPr>
        <w:pStyle w:val="Paragraphedeliste"/>
        <w:spacing w:after="160" w:line="259" w:lineRule="auto"/>
        <w:ind w:left="360"/>
        <w:jc w:val="both"/>
        <w:rPr>
          <w:rFonts w:ascii="Times New Roman" w:hAnsi="Times New Roman" w:cs="Times New Roman"/>
          <w:sz w:val="28"/>
          <w:szCs w:val="28"/>
        </w:rPr>
      </w:pPr>
    </w:p>
    <w:p w14:paraId="70C979B3" w14:textId="77777777"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L’intervention de l’ACGP dans la phase comptable persiste malgré la recommandation contraire du CNT à cet effet. Cette intervention, contraire à la loi est l’une des causes majeures du retard du paiement des décomptes déjà liquidés ; ce qui impacte négativement le taux d’exécution  des dépenses d’investissement qui représentent 41% du budget de l’Etat. </w:t>
      </w:r>
    </w:p>
    <w:p w14:paraId="7C4EAB87" w14:textId="77777777" w:rsidR="004D061A" w:rsidRPr="006333CC" w:rsidRDefault="004D061A" w:rsidP="00C632CB">
      <w:pPr>
        <w:spacing w:after="160" w:line="259" w:lineRule="auto"/>
        <w:ind w:left="360"/>
        <w:jc w:val="both"/>
        <w:rPr>
          <w:rFonts w:ascii="Times New Roman" w:hAnsi="Times New Roman" w:cs="Times New Roman"/>
          <w:b/>
          <w:bCs/>
          <w:sz w:val="28"/>
          <w:szCs w:val="28"/>
        </w:rPr>
      </w:pPr>
      <w:r w:rsidRPr="006333CC">
        <w:rPr>
          <w:rFonts w:ascii="Times New Roman" w:hAnsi="Times New Roman" w:cs="Times New Roman"/>
          <w:b/>
          <w:bCs/>
          <w:sz w:val="28"/>
          <w:szCs w:val="28"/>
        </w:rPr>
        <w:t xml:space="preserve">Le CNT recommande de: </w:t>
      </w:r>
    </w:p>
    <w:p w14:paraId="711762A2" w14:textId="7C909872" w:rsidR="004D061A" w:rsidRPr="006333CC" w:rsidRDefault="004D061A" w:rsidP="00E858A7">
      <w:pPr>
        <w:pStyle w:val="Paragraphedeliste"/>
        <w:numPr>
          <w:ilvl w:val="0"/>
          <w:numId w:val="9"/>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Circonscrire l’intervention de l’ACGP uniquement dans la phase de liquidation conformément au manuel de procédure de la dépense publique en lien avec la LORF et l’article 17 du Règlement Général sur la Gestion Budgétaire et la Comptabilité Publique (RGGBCP)</w:t>
      </w:r>
      <w:r w:rsidR="00E67F77" w:rsidRPr="006333CC">
        <w:rPr>
          <w:rFonts w:ascii="Times New Roman" w:hAnsi="Times New Roman" w:cs="Times New Roman"/>
          <w:b/>
          <w:bCs/>
          <w:sz w:val="28"/>
          <w:szCs w:val="28"/>
        </w:rPr>
        <w:t>.</w:t>
      </w:r>
    </w:p>
    <w:p w14:paraId="292FE627" w14:textId="38718AEC" w:rsidR="004D061A" w:rsidRPr="006333CC" w:rsidRDefault="004D061A" w:rsidP="00E858A7">
      <w:pPr>
        <w:pStyle w:val="Paragraphedeliste"/>
        <w:numPr>
          <w:ilvl w:val="0"/>
          <w:numId w:val="9"/>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 xml:space="preserve">Mettre en place un mécanisme permettant à l’ACGP de disposer facilement des budgets de missions de contrôles et de supervision des projets logés chez les Maitre d’Ouvrages ; cela peut se faire par le </w:t>
      </w:r>
      <w:r w:rsidRPr="006333CC">
        <w:rPr>
          <w:rFonts w:ascii="Times New Roman" w:hAnsi="Times New Roman" w:cs="Times New Roman"/>
          <w:b/>
          <w:bCs/>
          <w:sz w:val="28"/>
          <w:szCs w:val="28"/>
        </w:rPr>
        <w:lastRenderedPageBreak/>
        <w:t>biais de la transmission d’une réserve au titre de la mission de contrôle d’une condition suspensive à la signature des contrats des travaux des Maitres d’Ouvrage</w:t>
      </w:r>
      <w:r w:rsidR="00E67F77" w:rsidRPr="006333CC">
        <w:rPr>
          <w:rFonts w:ascii="Times New Roman" w:hAnsi="Times New Roman" w:cs="Times New Roman"/>
          <w:b/>
          <w:bCs/>
          <w:sz w:val="28"/>
          <w:szCs w:val="28"/>
        </w:rPr>
        <w:t>.</w:t>
      </w:r>
    </w:p>
    <w:p w14:paraId="2D9D1F0A" w14:textId="4DF30F6E" w:rsidR="004D061A" w:rsidRPr="006333CC" w:rsidRDefault="004D061A" w:rsidP="00E858A7">
      <w:pPr>
        <w:pStyle w:val="Paragraphedeliste"/>
        <w:numPr>
          <w:ilvl w:val="0"/>
          <w:numId w:val="9"/>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Donner à l’ACGP la possibilité́ d’arrêter ou de faire arrêter tout chantier public n’ayant pas de mission de contrôle et de supervision et/ou ne justifiant pas d’études techniques validées par elle</w:t>
      </w:r>
      <w:r w:rsidR="00E67F77" w:rsidRPr="006333CC">
        <w:rPr>
          <w:rFonts w:ascii="Times New Roman" w:hAnsi="Times New Roman" w:cs="Times New Roman"/>
          <w:b/>
          <w:bCs/>
          <w:sz w:val="28"/>
          <w:szCs w:val="28"/>
        </w:rPr>
        <w:t>.</w:t>
      </w:r>
    </w:p>
    <w:p w14:paraId="7FBC974C" w14:textId="77777777" w:rsidR="004D061A" w:rsidRPr="006333CC" w:rsidRDefault="004D061A" w:rsidP="00E858A7">
      <w:pPr>
        <w:pStyle w:val="Paragraphedeliste"/>
        <w:numPr>
          <w:ilvl w:val="0"/>
          <w:numId w:val="9"/>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Mettre en place un mécanisme de réduction des délais de passation des marchés publics.</w:t>
      </w:r>
    </w:p>
    <w:p w14:paraId="0105488E" w14:textId="7B67AFF4" w:rsidR="004D061A" w:rsidRPr="006333CC" w:rsidRDefault="004D061A" w:rsidP="00E858A7">
      <w:pPr>
        <w:pStyle w:val="Paragraphedeliste"/>
        <w:numPr>
          <w:ilvl w:val="0"/>
          <w:numId w:val="9"/>
        </w:numPr>
        <w:spacing w:after="160" w:line="259" w:lineRule="auto"/>
        <w:jc w:val="both"/>
        <w:rPr>
          <w:rFonts w:ascii="Times New Roman" w:hAnsi="Times New Roman" w:cs="Times New Roman"/>
          <w:sz w:val="28"/>
          <w:szCs w:val="28"/>
        </w:rPr>
      </w:pPr>
      <w:r w:rsidRPr="006333CC">
        <w:rPr>
          <w:rFonts w:ascii="Times New Roman" w:hAnsi="Times New Roman" w:cs="Times New Roman"/>
          <w:b/>
          <w:bCs/>
          <w:sz w:val="28"/>
          <w:szCs w:val="28"/>
        </w:rPr>
        <w:t>Rendre concomitant l’approbation des contrats de travaux et ceux des missions de contrôle et de supervision desdits travaux par le Ministre de l’Économie et des Finances</w:t>
      </w:r>
      <w:r w:rsidR="00C632CB" w:rsidRPr="006333CC">
        <w:rPr>
          <w:rFonts w:ascii="Times New Roman" w:hAnsi="Times New Roman" w:cs="Times New Roman"/>
          <w:sz w:val="28"/>
          <w:szCs w:val="28"/>
        </w:rPr>
        <w:t>.</w:t>
      </w:r>
    </w:p>
    <w:p w14:paraId="34438C76" w14:textId="38D6FDA2" w:rsidR="00480BDF" w:rsidRPr="006333CC" w:rsidRDefault="00480BDF" w:rsidP="00E858A7">
      <w:pPr>
        <w:pStyle w:val="Paragraphedeliste"/>
        <w:numPr>
          <w:ilvl w:val="0"/>
          <w:numId w:val="9"/>
        </w:numPr>
        <w:spacing w:after="160" w:line="259" w:lineRule="auto"/>
        <w:jc w:val="both"/>
        <w:rPr>
          <w:rFonts w:ascii="Times New Roman" w:hAnsi="Times New Roman" w:cs="Times New Roman"/>
          <w:sz w:val="28"/>
          <w:szCs w:val="28"/>
        </w:rPr>
      </w:pPr>
      <w:r w:rsidRPr="006333CC">
        <w:rPr>
          <w:rFonts w:ascii="Times New Roman" w:hAnsi="Times New Roman" w:cs="Times New Roman"/>
          <w:b/>
          <w:bCs/>
          <w:sz w:val="28"/>
          <w:szCs w:val="28"/>
        </w:rPr>
        <w:t>De surseoir dans un bref délai à cette violation flagrante  de l’article 17 du règlement général et de la comptabilité publique ; le Ministre de l’Economie et des Finances doit strictement veiller à l’application de cette recommandation d’ici la LFR 2024</w:t>
      </w:r>
    </w:p>
    <w:p w14:paraId="581313D5" w14:textId="77777777" w:rsidR="00C632CB" w:rsidRPr="006333CC" w:rsidRDefault="00C632CB" w:rsidP="00C632CB">
      <w:pPr>
        <w:pStyle w:val="Paragraphedeliste"/>
        <w:spacing w:after="160" w:line="259" w:lineRule="auto"/>
        <w:ind w:left="1080"/>
        <w:jc w:val="both"/>
        <w:rPr>
          <w:rFonts w:ascii="Times New Roman" w:hAnsi="Times New Roman" w:cs="Times New Roman"/>
          <w:sz w:val="28"/>
          <w:szCs w:val="28"/>
        </w:rPr>
      </w:pPr>
    </w:p>
    <w:p w14:paraId="42BD327F" w14:textId="7BA88059"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La </w:t>
      </w:r>
      <w:r w:rsidR="00E67F77" w:rsidRPr="006333CC">
        <w:rPr>
          <w:rFonts w:ascii="Times New Roman" w:hAnsi="Times New Roman" w:cs="Times New Roman"/>
          <w:sz w:val="28"/>
          <w:szCs w:val="28"/>
        </w:rPr>
        <w:t>non-indemnisation</w:t>
      </w:r>
      <w:r w:rsidRPr="006333CC">
        <w:rPr>
          <w:rFonts w:ascii="Times New Roman" w:hAnsi="Times New Roman" w:cs="Times New Roman"/>
          <w:sz w:val="28"/>
          <w:szCs w:val="28"/>
        </w:rPr>
        <w:t xml:space="preserve"> des personnes impactées par les projets d’infrastructure dans les délais contractuels est l’une des raisons du retard dans leur exécution. Cette situation récurrente préoccupe le CNT. </w:t>
      </w:r>
    </w:p>
    <w:p w14:paraId="6F4713D8" w14:textId="77777777" w:rsidR="004D061A" w:rsidRPr="006333CC" w:rsidRDefault="004D061A" w:rsidP="00C632CB">
      <w:pPr>
        <w:pStyle w:val="Paragraphedeliste"/>
        <w:spacing w:after="160" w:line="259" w:lineRule="auto"/>
        <w:ind w:left="360"/>
        <w:jc w:val="both"/>
        <w:rPr>
          <w:rFonts w:ascii="Times New Roman" w:hAnsi="Times New Roman" w:cs="Times New Roman"/>
          <w:b/>
          <w:bCs/>
          <w:sz w:val="28"/>
          <w:szCs w:val="28"/>
        </w:rPr>
      </w:pPr>
      <w:r w:rsidRPr="006333CC">
        <w:rPr>
          <w:rFonts w:ascii="Times New Roman" w:hAnsi="Times New Roman" w:cs="Times New Roman"/>
          <w:sz w:val="28"/>
          <w:szCs w:val="28"/>
        </w:rPr>
        <w:t xml:space="preserve">Par conséquent, </w:t>
      </w:r>
      <w:r w:rsidRPr="006333CC">
        <w:rPr>
          <w:rFonts w:ascii="Times New Roman" w:hAnsi="Times New Roman" w:cs="Times New Roman"/>
          <w:b/>
          <w:bCs/>
          <w:sz w:val="28"/>
          <w:szCs w:val="28"/>
        </w:rPr>
        <w:t>il invite à nouveau le Gouvernement à prendre toutes les dispositions utiles pour :</w:t>
      </w:r>
    </w:p>
    <w:p w14:paraId="14D12561" w14:textId="77777777" w:rsidR="004D061A" w:rsidRPr="006333CC" w:rsidRDefault="004D061A" w:rsidP="00E858A7">
      <w:pPr>
        <w:pStyle w:val="Paragraphedeliste"/>
        <w:numPr>
          <w:ilvl w:val="0"/>
          <w:numId w:val="10"/>
        </w:numPr>
        <w:spacing w:after="200" w:line="276"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accélérer les procédures administratives et financières ;</w:t>
      </w:r>
    </w:p>
    <w:p w14:paraId="3693C0E6" w14:textId="77777777" w:rsidR="004D061A" w:rsidRPr="006333CC" w:rsidRDefault="004D061A" w:rsidP="00E858A7">
      <w:pPr>
        <w:pStyle w:val="Paragraphedeliste"/>
        <w:numPr>
          <w:ilvl w:val="0"/>
          <w:numId w:val="10"/>
        </w:numPr>
        <w:spacing w:after="200" w:line="276"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procéder à une évaluation juste des indemnités ;</w:t>
      </w:r>
    </w:p>
    <w:p w14:paraId="5D5BF60B" w14:textId="653A7FBA" w:rsidR="004D061A" w:rsidRPr="006333CC" w:rsidRDefault="004D061A" w:rsidP="00E858A7">
      <w:pPr>
        <w:pStyle w:val="Paragraphedeliste"/>
        <w:numPr>
          <w:ilvl w:val="0"/>
          <w:numId w:val="10"/>
        </w:numPr>
        <w:spacing w:after="200" w:line="276" w:lineRule="auto"/>
        <w:jc w:val="both"/>
        <w:rPr>
          <w:rFonts w:ascii="Times New Roman" w:hAnsi="Times New Roman" w:cs="Times New Roman"/>
          <w:sz w:val="28"/>
          <w:szCs w:val="28"/>
        </w:rPr>
      </w:pPr>
      <w:r w:rsidRPr="006333CC">
        <w:rPr>
          <w:rFonts w:ascii="Times New Roman" w:hAnsi="Times New Roman" w:cs="Times New Roman"/>
          <w:b/>
          <w:bCs/>
          <w:sz w:val="28"/>
          <w:szCs w:val="28"/>
        </w:rPr>
        <w:t>rendre transparent l’ensemble du processus d’indemnisation</w:t>
      </w:r>
      <w:r w:rsidR="00C632CB" w:rsidRPr="006333CC">
        <w:rPr>
          <w:rFonts w:ascii="Times New Roman" w:hAnsi="Times New Roman" w:cs="Times New Roman"/>
          <w:sz w:val="28"/>
          <w:szCs w:val="28"/>
        </w:rPr>
        <w:t>.</w:t>
      </w:r>
    </w:p>
    <w:p w14:paraId="559AAE3E" w14:textId="77777777" w:rsidR="00C632CB" w:rsidRPr="006333CC" w:rsidRDefault="00C632CB" w:rsidP="00C632CB">
      <w:pPr>
        <w:pStyle w:val="Paragraphedeliste"/>
        <w:spacing w:after="200" w:line="276" w:lineRule="auto"/>
        <w:ind w:left="1080"/>
        <w:jc w:val="both"/>
        <w:rPr>
          <w:rFonts w:ascii="Times New Roman" w:hAnsi="Times New Roman" w:cs="Times New Roman"/>
          <w:sz w:val="28"/>
          <w:szCs w:val="28"/>
        </w:rPr>
      </w:pPr>
    </w:p>
    <w:p w14:paraId="2BFAF092" w14:textId="77777777"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L’examen du rapport d’exécution de la LFR2023 a révélé un faible niveau de paiement de la dette intérieure. En effet, malgré la liquidation à date de 800 Mds sur 1000 Mds prévus en LFI 2023 par la Direction Nationale de la Dette, le trésor n’a pu effectivement payer que 400 Mds soit 50%. </w:t>
      </w:r>
    </w:p>
    <w:p w14:paraId="54EBCC15" w14:textId="352BD6FD" w:rsidR="004D061A" w:rsidRPr="006333CC" w:rsidRDefault="004D061A" w:rsidP="00C632CB">
      <w:pPr>
        <w:ind w:left="360"/>
        <w:jc w:val="both"/>
        <w:rPr>
          <w:rFonts w:ascii="Times New Roman" w:hAnsi="Times New Roman" w:cs="Times New Roman"/>
          <w:sz w:val="28"/>
          <w:szCs w:val="28"/>
        </w:rPr>
      </w:pPr>
      <w:r w:rsidRPr="006333CC">
        <w:rPr>
          <w:rFonts w:ascii="Times New Roman" w:hAnsi="Times New Roman" w:cs="Times New Roman"/>
          <w:sz w:val="28"/>
          <w:szCs w:val="28"/>
        </w:rPr>
        <w:t xml:space="preserve">Vu le caractère exigible de cette dépense et son utilité pour l’économie nationale, </w:t>
      </w:r>
      <w:r w:rsidRPr="006333CC">
        <w:rPr>
          <w:rFonts w:ascii="Times New Roman" w:hAnsi="Times New Roman" w:cs="Times New Roman"/>
          <w:b/>
          <w:bCs/>
          <w:sz w:val="28"/>
          <w:szCs w:val="28"/>
        </w:rPr>
        <w:t>le CNT invite à nouveau le gouvernement à procéder à son apurement total.</w:t>
      </w:r>
    </w:p>
    <w:p w14:paraId="78A279B8" w14:textId="77777777" w:rsidR="00C632CB" w:rsidRPr="006333CC" w:rsidRDefault="00C632CB" w:rsidP="00C632CB">
      <w:pPr>
        <w:ind w:left="360"/>
        <w:jc w:val="both"/>
        <w:rPr>
          <w:rFonts w:ascii="Times New Roman" w:hAnsi="Times New Roman" w:cs="Times New Roman"/>
          <w:sz w:val="28"/>
          <w:szCs w:val="28"/>
        </w:rPr>
      </w:pPr>
    </w:p>
    <w:p w14:paraId="7501208F" w14:textId="77777777"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Conscient des difficultés rencontrées par les populations de Conakry et certaines villes de l’intérieur et vu les capacités très limitées de la Société des </w:t>
      </w:r>
      <w:r w:rsidRPr="006333CC">
        <w:rPr>
          <w:rFonts w:ascii="Times New Roman" w:hAnsi="Times New Roman" w:cs="Times New Roman"/>
          <w:sz w:val="28"/>
          <w:szCs w:val="28"/>
        </w:rPr>
        <w:lastRenderedPageBreak/>
        <w:t xml:space="preserve">Eaux de Guinée (SEG) en termes de fourniture d’eau potable, </w:t>
      </w:r>
      <w:r w:rsidRPr="006333CC">
        <w:rPr>
          <w:rFonts w:ascii="Times New Roman" w:hAnsi="Times New Roman" w:cs="Times New Roman"/>
          <w:b/>
          <w:bCs/>
          <w:sz w:val="28"/>
          <w:szCs w:val="28"/>
        </w:rPr>
        <w:t xml:space="preserve">le CNT réitère sa recommandation au Gouvernement d’accompagner la SEG. </w:t>
      </w:r>
    </w:p>
    <w:p w14:paraId="6E47FFC4" w14:textId="77777777" w:rsidR="00C632CB" w:rsidRPr="006333CC" w:rsidRDefault="00C632CB" w:rsidP="00C632CB">
      <w:pPr>
        <w:pStyle w:val="Paragraphedeliste"/>
        <w:spacing w:after="160" w:line="259" w:lineRule="auto"/>
        <w:ind w:left="360"/>
        <w:jc w:val="both"/>
        <w:rPr>
          <w:rFonts w:ascii="Times New Roman" w:hAnsi="Times New Roman" w:cs="Times New Roman"/>
          <w:sz w:val="28"/>
          <w:szCs w:val="28"/>
        </w:rPr>
      </w:pPr>
    </w:p>
    <w:p w14:paraId="05D1B0E9" w14:textId="323331C5" w:rsidR="000E143B"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Du rapport des missions de concertation des Conseillers nationaux à l’intérieur du pays, la question des infrastructures inachevées des fêtes tournantes a été relevée en plusieurs endroits. Partant du </w:t>
      </w:r>
      <w:r w:rsidR="00D84B85" w:rsidRPr="006333CC">
        <w:rPr>
          <w:rFonts w:ascii="Times New Roman" w:hAnsi="Times New Roman" w:cs="Times New Roman"/>
          <w:sz w:val="28"/>
          <w:szCs w:val="28"/>
        </w:rPr>
        <w:t>constat de la non prise en compte de la recommandation</w:t>
      </w:r>
      <w:r w:rsidR="000E143B" w:rsidRPr="006333CC">
        <w:rPr>
          <w:rFonts w:ascii="Times New Roman" w:hAnsi="Times New Roman" w:cs="Times New Roman"/>
          <w:sz w:val="28"/>
          <w:szCs w:val="28"/>
        </w:rPr>
        <w:t xml:space="preserve"> formulée à cet effet en LFR 2023, la commission du Plan, des Affaires Financières et du Contrôle Budgétaire invite le CNT à initier une mission d’information Parlementaire sur tous lesdits chantiers.</w:t>
      </w:r>
    </w:p>
    <w:p w14:paraId="1B2ECB0F" w14:textId="77777777" w:rsidR="000E143B" w:rsidRPr="006333CC" w:rsidRDefault="000E143B" w:rsidP="000E143B">
      <w:pPr>
        <w:pStyle w:val="Paragraphedeliste"/>
        <w:rPr>
          <w:rFonts w:ascii="Times New Roman" w:hAnsi="Times New Roman" w:cs="Times New Roman"/>
          <w:sz w:val="28"/>
          <w:szCs w:val="28"/>
        </w:rPr>
      </w:pPr>
    </w:p>
    <w:p w14:paraId="074FCB16" w14:textId="77777777" w:rsidR="000E143B" w:rsidRPr="006333CC" w:rsidRDefault="000E143B" w:rsidP="000E143B">
      <w:pPr>
        <w:pStyle w:val="Paragraphedeliste"/>
        <w:spacing w:after="160" w:line="259" w:lineRule="auto"/>
        <w:ind w:left="360"/>
        <w:jc w:val="both"/>
        <w:rPr>
          <w:rFonts w:ascii="Times New Roman" w:hAnsi="Times New Roman" w:cs="Times New Roman"/>
          <w:sz w:val="28"/>
          <w:szCs w:val="28"/>
        </w:rPr>
      </w:pPr>
    </w:p>
    <w:p w14:paraId="2636D6CF" w14:textId="28E67F1A"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Le CNT attache une importance particulière à la construction des routes préfectorales comme indiqué dans son rapport du débat d’orientation budgétaire 2024-2026 car elles sont indispensables au développement socio-économique du pays.  </w:t>
      </w:r>
      <w:r w:rsidR="00C632CB" w:rsidRPr="006333CC">
        <w:rPr>
          <w:rFonts w:ascii="Times New Roman" w:hAnsi="Times New Roman" w:cs="Times New Roman"/>
          <w:b/>
          <w:bCs/>
          <w:sz w:val="28"/>
          <w:szCs w:val="28"/>
        </w:rPr>
        <w:t>Le</w:t>
      </w:r>
      <w:r w:rsidRPr="006333CC">
        <w:rPr>
          <w:rFonts w:ascii="Times New Roman" w:hAnsi="Times New Roman" w:cs="Times New Roman"/>
          <w:b/>
          <w:bCs/>
          <w:sz w:val="28"/>
          <w:szCs w:val="28"/>
        </w:rPr>
        <w:t xml:space="preserve"> CNT réitère au Gouvernement de renforcer </w:t>
      </w:r>
      <w:r w:rsidR="006D5230" w:rsidRPr="006333CC">
        <w:rPr>
          <w:rFonts w:ascii="Times New Roman" w:hAnsi="Times New Roman" w:cs="Times New Roman"/>
          <w:b/>
          <w:bCs/>
          <w:sz w:val="28"/>
          <w:szCs w:val="28"/>
        </w:rPr>
        <w:t>et d’accélérer</w:t>
      </w:r>
      <w:r w:rsidRPr="006333CC">
        <w:rPr>
          <w:rFonts w:ascii="Times New Roman" w:hAnsi="Times New Roman" w:cs="Times New Roman"/>
          <w:b/>
          <w:bCs/>
          <w:sz w:val="28"/>
          <w:szCs w:val="28"/>
        </w:rPr>
        <w:t xml:space="preserve"> la construction des routes préfectorales, surtout dans les zones à fort potentiel agricole et dans les localités où la question de désenclavement se pose avec acuité.</w:t>
      </w:r>
    </w:p>
    <w:p w14:paraId="51409986" w14:textId="712966F8" w:rsidR="00C632CB" w:rsidRPr="006333CC" w:rsidRDefault="00C632CB" w:rsidP="00C632CB">
      <w:pPr>
        <w:pStyle w:val="Paragraphedeliste"/>
        <w:rPr>
          <w:rFonts w:ascii="Times New Roman" w:hAnsi="Times New Roman" w:cs="Times New Roman"/>
          <w:sz w:val="28"/>
          <w:szCs w:val="28"/>
        </w:rPr>
      </w:pPr>
    </w:p>
    <w:p w14:paraId="20DB927A" w14:textId="772F0623" w:rsidR="004D061A"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Il ressort de l’examen du projet de LF</w:t>
      </w:r>
      <w:r w:rsidR="00476D08" w:rsidRPr="006333CC">
        <w:rPr>
          <w:rFonts w:ascii="Times New Roman" w:hAnsi="Times New Roman" w:cs="Times New Roman"/>
          <w:sz w:val="28"/>
          <w:szCs w:val="28"/>
        </w:rPr>
        <w:t>I</w:t>
      </w:r>
      <w:r w:rsidRPr="006333CC">
        <w:rPr>
          <w:rFonts w:ascii="Times New Roman" w:hAnsi="Times New Roman" w:cs="Times New Roman"/>
          <w:sz w:val="28"/>
          <w:szCs w:val="28"/>
        </w:rPr>
        <w:t xml:space="preserve"> que seulement 5,8% du budget global est alloué au secteur de la santé</w:t>
      </w:r>
      <w:r w:rsidR="00476D08" w:rsidRPr="006333CC">
        <w:rPr>
          <w:rFonts w:ascii="Times New Roman" w:hAnsi="Times New Roman" w:cs="Times New Roman"/>
          <w:sz w:val="28"/>
          <w:szCs w:val="28"/>
        </w:rPr>
        <w:t xml:space="preserve"> et 13,9% pour celui de l’Education contre respectivement une moyenne sous régionale de </w:t>
      </w:r>
      <w:r w:rsidRPr="006333CC">
        <w:rPr>
          <w:rFonts w:ascii="Times New Roman" w:hAnsi="Times New Roman" w:cs="Times New Roman"/>
          <w:sz w:val="28"/>
          <w:szCs w:val="28"/>
        </w:rPr>
        <w:t>12%</w:t>
      </w:r>
      <w:r w:rsidR="00476D08" w:rsidRPr="006333CC">
        <w:rPr>
          <w:rFonts w:ascii="Times New Roman" w:hAnsi="Times New Roman" w:cs="Times New Roman"/>
          <w:sz w:val="28"/>
          <w:szCs w:val="28"/>
        </w:rPr>
        <w:t xml:space="preserve"> et de 15 %</w:t>
      </w:r>
      <w:r w:rsidR="007F4023" w:rsidRPr="006333CC">
        <w:rPr>
          <w:rFonts w:ascii="Times New Roman" w:hAnsi="Times New Roman" w:cs="Times New Roman"/>
          <w:sz w:val="28"/>
          <w:szCs w:val="28"/>
        </w:rPr>
        <w:t>.</w:t>
      </w:r>
      <w:r w:rsidRPr="006333CC">
        <w:rPr>
          <w:rFonts w:ascii="Times New Roman" w:hAnsi="Times New Roman" w:cs="Times New Roman"/>
          <w:sz w:val="28"/>
          <w:szCs w:val="28"/>
        </w:rPr>
        <w:t xml:space="preserve"> En raison des enjeux liés </w:t>
      </w:r>
      <w:r w:rsidR="00892CAE" w:rsidRPr="006333CC">
        <w:rPr>
          <w:rFonts w:ascii="Times New Roman" w:hAnsi="Times New Roman" w:cs="Times New Roman"/>
          <w:sz w:val="28"/>
          <w:szCs w:val="28"/>
        </w:rPr>
        <w:t xml:space="preserve">au secteur de </w:t>
      </w:r>
      <w:r w:rsidRPr="006333CC">
        <w:rPr>
          <w:rFonts w:ascii="Times New Roman" w:hAnsi="Times New Roman" w:cs="Times New Roman"/>
          <w:sz w:val="28"/>
          <w:szCs w:val="28"/>
        </w:rPr>
        <w:t>la santé</w:t>
      </w:r>
      <w:r w:rsidR="00892CAE" w:rsidRPr="006333CC">
        <w:rPr>
          <w:rFonts w:ascii="Times New Roman" w:hAnsi="Times New Roman" w:cs="Times New Roman"/>
          <w:sz w:val="28"/>
          <w:szCs w:val="28"/>
        </w:rPr>
        <w:t xml:space="preserve"> et de l’Education, </w:t>
      </w:r>
      <w:r w:rsidRPr="006333CC">
        <w:rPr>
          <w:rFonts w:ascii="Times New Roman" w:hAnsi="Times New Roman" w:cs="Times New Roman"/>
          <w:b/>
          <w:bCs/>
          <w:sz w:val="28"/>
          <w:szCs w:val="28"/>
        </w:rPr>
        <w:t>le CNT invite à nouveau le Gouvernement à améliorer conséquemment la dotation d</w:t>
      </w:r>
      <w:r w:rsidR="00892CAE" w:rsidRPr="006333CC">
        <w:rPr>
          <w:rFonts w:ascii="Times New Roman" w:hAnsi="Times New Roman" w:cs="Times New Roman"/>
          <w:b/>
          <w:bCs/>
          <w:sz w:val="28"/>
          <w:szCs w:val="28"/>
        </w:rPr>
        <w:t xml:space="preserve">esdits </w:t>
      </w:r>
      <w:r w:rsidRPr="006333CC">
        <w:rPr>
          <w:rFonts w:ascii="Times New Roman" w:hAnsi="Times New Roman" w:cs="Times New Roman"/>
          <w:b/>
          <w:bCs/>
          <w:sz w:val="28"/>
          <w:szCs w:val="28"/>
        </w:rPr>
        <w:t>secteur</w:t>
      </w:r>
      <w:r w:rsidR="00892CAE" w:rsidRPr="006333CC">
        <w:rPr>
          <w:rFonts w:ascii="Times New Roman" w:hAnsi="Times New Roman" w:cs="Times New Roman"/>
          <w:b/>
          <w:bCs/>
          <w:sz w:val="28"/>
          <w:szCs w:val="28"/>
        </w:rPr>
        <w:t>s</w:t>
      </w:r>
      <w:r w:rsidRPr="006333CC">
        <w:rPr>
          <w:rFonts w:ascii="Times New Roman" w:hAnsi="Times New Roman" w:cs="Times New Roman"/>
          <w:b/>
          <w:bCs/>
          <w:sz w:val="28"/>
          <w:szCs w:val="28"/>
        </w:rPr>
        <w:t xml:space="preserve"> dans les prochaines lois de finance</w:t>
      </w:r>
      <w:r w:rsidR="00892CAE" w:rsidRPr="006333CC">
        <w:rPr>
          <w:rFonts w:ascii="Times New Roman" w:hAnsi="Times New Roman" w:cs="Times New Roman"/>
          <w:b/>
          <w:bCs/>
          <w:sz w:val="28"/>
          <w:szCs w:val="28"/>
        </w:rPr>
        <w:t>s</w:t>
      </w:r>
      <w:r w:rsidRPr="006333CC">
        <w:rPr>
          <w:rFonts w:ascii="Times New Roman" w:hAnsi="Times New Roman" w:cs="Times New Roman"/>
          <w:sz w:val="28"/>
          <w:szCs w:val="28"/>
        </w:rPr>
        <w:t>.</w:t>
      </w:r>
    </w:p>
    <w:p w14:paraId="228F0C8B" w14:textId="77777777" w:rsidR="004D061A" w:rsidRPr="006333CC" w:rsidRDefault="004D061A" w:rsidP="004D061A">
      <w:pPr>
        <w:pStyle w:val="Paragraphedeliste"/>
        <w:spacing w:after="160" w:line="259" w:lineRule="auto"/>
        <w:jc w:val="both"/>
        <w:rPr>
          <w:rFonts w:ascii="Times New Roman" w:hAnsi="Times New Roman" w:cs="Times New Roman"/>
          <w:sz w:val="28"/>
          <w:szCs w:val="28"/>
        </w:rPr>
      </w:pPr>
    </w:p>
    <w:p w14:paraId="64E0E924" w14:textId="4EA183E2" w:rsidR="004D061A" w:rsidRPr="006333CC" w:rsidRDefault="004D061A" w:rsidP="00E858A7">
      <w:pPr>
        <w:pStyle w:val="Paragraphedeliste"/>
        <w:numPr>
          <w:ilvl w:val="0"/>
          <w:numId w:val="5"/>
        </w:numPr>
        <w:tabs>
          <w:tab w:val="left" w:pos="7419"/>
        </w:tabs>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 En ce qui concerne </w:t>
      </w:r>
      <w:r w:rsidR="00DB5872" w:rsidRPr="006333CC">
        <w:rPr>
          <w:rFonts w:ascii="Times New Roman" w:hAnsi="Times New Roman" w:cs="Times New Roman"/>
          <w:sz w:val="28"/>
          <w:szCs w:val="28"/>
        </w:rPr>
        <w:t>les dépenses communes au titre des réserves constituées dans le cadre du plan de riposte post-</w:t>
      </w:r>
      <w:r w:rsidRPr="006333CC">
        <w:rPr>
          <w:rFonts w:ascii="Times New Roman" w:hAnsi="Times New Roman" w:cs="Times New Roman"/>
          <w:sz w:val="28"/>
          <w:szCs w:val="28"/>
        </w:rPr>
        <w:t>incendie du dépôt central des hydrocarbures de Kaloum, le CNT invite le Gouvernement à :</w:t>
      </w:r>
    </w:p>
    <w:p w14:paraId="235CF035" w14:textId="2E790DB6" w:rsidR="004D061A" w:rsidRPr="006333CC" w:rsidRDefault="004D061A"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 xml:space="preserve">veiller à la gestion efficace et efficiente de toutes les ressources </w:t>
      </w:r>
      <w:r w:rsidR="00DB5872" w:rsidRPr="006333CC">
        <w:rPr>
          <w:rFonts w:ascii="Times New Roman" w:hAnsi="Times New Roman" w:cs="Times New Roman"/>
          <w:b/>
          <w:bCs/>
          <w:sz w:val="28"/>
          <w:szCs w:val="28"/>
        </w:rPr>
        <w:t xml:space="preserve"> mobiliser y compris</w:t>
      </w:r>
      <w:r w:rsidRPr="006333CC">
        <w:rPr>
          <w:rFonts w:ascii="Times New Roman" w:hAnsi="Times New Roman" w:cs="Times New Roman"/>
          <w:b/>
          <w:bCs/>
          <w:sz w:val="28"/>
          <w:szCs w:val="28"/>
        </w:rPr>
        <w:t>;</w:t>
      </w:r>
    </w:p>
    <w:p w14:paraId="3F77EAD5" w14:textId="3C0CE91B" w:rsidR="004D061A" w:rsidRPr="006333CC" w:rsidRDefault="004D061A"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 xml:space="preserve">prévoir une dotation budgétaire suffisante à la Protection Civile </w:t>
      </w:r>
      <w:r w:rsidR="00DB5872" w:rsidRPr="006333CC">
        <w:rPr>
          <w:rFonts w:ascii="Times New Roman" w:hAnsi="Times New Roman" w:cs="Times New Roman"/>
          <w:b/>
          <w:bCs/>
          <w:sz w:val="28"/>
          <w:szCs w:val="28"/>
        </w:rPr>
        <w:t xml:space="preserve">et l’ANGUCH </w:t>
      </w:r>
      <w:r w:rsidRPr="006333CC">
        <w:rPr>
          <w:rFonts w:ascii="Times New Roman" w:hAnsi="Times New Roman" w:cs="Times New Roman"/>
          <w:b/>
          <w:bCs/>
          <w:sz w:val="28"/>
          <w:szCs w:val="28"/>
        </w:rPr>
        <w:t>;</w:t>
      </w:r>
    </w:p>
    <w:p w14:paraId="7678D574" w14:textId="77777777" w:rsidR="004D061A" w:rsidRPr="006333CC" w:rsidRDefault="004D061A"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constituer un stock de sécurité suffisant en hydrocarbures pour les forces de défense et de sécurité ;</w:t>
      </w:r>
    </w:p>
    <w:p w14:paraId="14A1A872" w14:textId="77777777" w:rsidR="004D061A" w:rsidRPr="006333CC" w:rsidRDefault="004D061A"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lastRenderedPageBreak/>
        <w:t>envisager un nouveau  programme d’aménagement de Kaloum tenant compte des effets de la catastrophe ;</w:t>
      </w:r>
    </w:p>
    <w:p w14:paraId="18C7E712" w14:textId="77777777" w:rsidR="004D061A" w:rsidRPr="006333CC" w:rsidRDefault="004D061A"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accélérer le projet de construction des dépôts de Mandiana et de Forécariah ;</w:t>
      </w:r>
    </w:p>
    <w:p w14:paraId="4AB26B8D" w14:textId="7CF56CF1" w:rsidR="000170C8" w:rsidRPr="006333CC" w:rsidRDefault="00B85203"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reconstruire et équiper dans les meilleurs délais le</w:t>
      </w:r>
      <w:r w:rsidR="000170C8" w:rsidRPr="006333CC">
        <w:rPr>
          <w:rFonts w:ascii="Times New Roman" w:hAnsi="Times New Roman" w:cs="Times New Roman"/>
          <w:b/>
          <w:bCs/>
          <w:sz w:val="28"/>
          <w:szCs w:val="28"/>
        </w:rPr>
        <w:t xml:space="preserve"> laboratoire national de la géologie pour l’analyse de qualité de nos minerais</w:t>
      </w:r>
      <w:r w:rsidRPr="006333CC">
        <w:rPr>
          <w:rFonts w:ascii="Times New Roman" w:hAnsi="Times New Roman" w:cs="Times New Roman"/>
          <w:b/>
          <w:bCs/>
          <w:sz w:val="28"/>
          <w:szCs w:val="28"/>
        </w:rPr>
        <w:t> ;</w:t>
      </w:r>
    </w:p>
    <w:p w14:paraId="367DEE06" w14:textId="5CA56442" w:rsidR="000170C8" w:rsidRPr="006333CC" w:rsidRDefault="00B85203" w:rsidP="00E858A7">
      <w:pPr>
        <w:pStyle w:val="Paragraphedeliste"/>
        <w:numPr>
          <w:ilvl w:val="0"/>
          <w:numId w:val="11"/>
        </w:numPr>
        <w:spacing w:after="160" w:line="259" w:lineRule="auto"/>
        <w:jc w:val="both"/>
        <w:rPr>
          <w:rFonts w:ascii="Times New Roman" w:hAnsi="Times New Roman" w:cs="Times New Roman"/>
          <w:b/>
          <w:bCs/>
          <w:sz w:val="28"/>
          <w:szCs w:val="28"/>
        </w:rPr>
      </w:pPr>
      <w:r w:rsidRPr="006333CC">
        <w:rPr>
          <w:rFonts w:ascii="Times New Roman" w:hAnsi="Times New Roman" w:cs="Times New Roman"/>
          <w:b/>
          <w:bCs/>
          <w:sz w:val="28"/>
          <w:szCs w:val="28"/>
        </w:rPr>
        <w:t xml:space="preserve">soutenir </w:t>
      </w:r>
      <w:r w:rsidR="00DB5872" w:rsidRPr="006333CC">
        <w:rPr>
          <w:rFonts w:ascii="Times New Roman" w:hAnsi="Times New Roman" w:cs="Times New Roman"/>
          <w:b/>
          <w:bCs/>
          <w:sz w:val="28"/>
          <w:szCs w:val="28"/>
        </w:rPr>
        <w:t xml:space="preserve">financièrement </w:t>
      </w:r>
      <w:r w:rsidR="000170C8" w:rsidRPr="006333CC">
        <w:rPr>
          <w:rFonts w:ascii="Times New Roman" w:hAnsi="Times New Roman" w:cs="Times New Roman"/>
          <w:b/>
          <w:bCs/>
          <w:sz w:val="28"/>
          <w:szCs w:val="28"/>
        </w:rPr>
        <w:t>l’</w:t>
      </w:r>
      <w:r w:rsidR="00DB5872" w:rsidRPr="006333CC">
        <w:rPr>
          <w:rFonts w:ascii="Times New Roman" w:hAnsi="Times New Roman" w:cs="Times New Roman"/>
          <w:b/>
          <w:bCs/>
          <w:sz w:val="28"/>
          <w:szCs w:val="28"/>
        </w:rPr>
        <w:t>EDG pour faire face aux effets de l’incendie</w:t>
      </w:r>
      <w:r w:rsidR="00892CAE" w:rsidRPr="006333CC">
        <w:rPr>
          <w:rFonts w:ascii="Times New Roman" w:hAnsi="Times New Roman" w:cs="Times New Roman"/>
          <w:b/>
          <w:bCs/>
          <w:sz w:val="28"/>
          <w:szCs w:val="28"/>
        </w:rPr>
        <w:t> ;</w:t>
      </w:r>
    </w:p>
    <w:p w14:paraId="481AE5DD" w14:textId="72643ED9" w:rsidR="00892CAE" w:rsidRPr="006333CC" w:rsidRDefault="00892CAE" w:rsidP="00E858A7">
      <w:pPr>
        <w:pStyle w:val="Paragraphedeliste"/>
        <w:numPr>
          <w:ilvl w:val="0"/>
          <w:numId w:val="11"/>
        </w:numPr>
        <w:spacing w:after="160" w:line="259" w:lineRule="auto"/>
        <w:jc w:val="both"/>
        <w:rPr>
          <w:rFonts w:ascii="Times New Roman" w:hAnsi="Times New Roman" w:cs="Times New Roman"/>
          <w:b/>
          <w:bCs/>
          <w:sz w:val="28"/>
          <w:szCs w:val="28"/>
        </w:rPr>
      </w:pPr>
      <w:proofErr w:type="spellStart"/>
      <w:r w:rsidRPr="006333CC">
        <w:rPr>
          <w:rFonts w:ascii="Times New Roman" w:hAnsi="Times New Roman" w:cs="Times New Roman"/>
          <w:b/>
          <w:bCs/>
          <w:sz w:val="28"/>
          <w:szCs w:val="28"/>
        </w:rPr>
        <w:t>prevoir</w:t>
      </w:r>
      <w:proofErr w:type="spellEnd"/>
      <w:r w:rsidRPr="006333CC">
        <w:rPr>
          <w:rFonts w:ascii="Times New Roman" w:hAnsi="Times New Roman" w:cs="Times New Roman"/>
          <w:b/>
          <w:bCs/>
          <w:sz w:val="28"/>
          <w:szCs w:val="28"/>
        </w:rPr>
        <w:t xml:space="preserve"> les dépenses de sécurisation et de maintien de l’ordre publique non budgétisé à l’avance.</w:t>
      </w:r>
    </w:p>
    <w:p w14:paraId="60465D2B" w14:textId="77777777" w:rsidR="00C632CB" w:rsidRPr="006333CC" w:rsidRDefault="00C632CB" w:rsidP="00C632CB">
      <w:pPr>
        <w:pStyle w:val="Paragraphedeliste"/>
        <w:spacing w:after="160" w:line="259" w:lineRule="auto"/>
        <w:ind w:left="1068"/>
        <w:jc w:val="both"/>
        <w:rPr>
          <w:rFonts w:ascii="Times New Roman" w:hAnsi="Times New Roman" w:cs="Times New Roman"/>
          <w:sz w:val="28"/>
          <w:szCs w:val="28"/>
        </w:rPr>
      </w:pPr>
    </w:p>
    <w:p w14:paraId="6DADB289" w14:textId="54E5BA83" w:rsidR="00E942D2" w:rsidRPr="006333CC" w:rsidRDefault="004D061A"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Au regard des pertes en vie humaines liées à cet incendie </w:t>
      </w:r>
      <w:r w:rsidRPr="006333CC">
        <w:rPr>
          <w:rFonts w:ascii="Times New Roman" w:hAnsi="Times New Roman" w:cs="Times New Roman"/>
          <w:b/>
          <w:bCs/>
          <w:sz w:val="28"/>
          <w:szCs w:val="28"/>
        </w:rPr>
        <w:t>le CNT attire l’attention du Gouvernement sur la nécessité de faire appliquer la règlementation relative à la construction des habitations le long des rails pour prévenir les accidents de train</w:t>
      </w:r>
      <w:r w:rsidR="00C632CB" w:rsidRPr="006333CC">
        <w:rPr>
          <w:rFonts w:ascii="Times New Roman" w:hAnsi="Times New Roman" w:cs="Times New Roman"/>
          <w:b/>
          <w:bCs/>
          <w:sz w:val="28"/>
          <w:szCs w:val="28"/>
        </w:rPr>
        <w:t>.</w:t>
      </w:r>
    </w:p>
    <w:p w14:paraId="53D6C45C" w14:textId="77777777" w:rsidR="00C632CB" w:rsidRPr="006333CC" w:rsidRDefault="00C632CB" w:rsidP="00C632CB">
      <w:pPr>
        <w:pStyle w:val="Paragraphedeliste"/>
        <w:spacing w:after="160" w:line="259" w:lineRule="auto"/>
        <w:ind w:left="360"/>
        <w:jc w:val="both"/>
        <w:rPr>
          <w:rFonts w:ascii="Times New Roman" w:hAnsi="Times New Roman" w:cs="Times New Roman"/>
          <w:sz w:val="28"/>
          <w:szCs w:val="28"/>
        </w:rPr>
      </w:pPr>
    </w:p>
    <w:p w14:paraId="076F76C1" w14:textId="518A670F" w:rsidR="00460678" w:rsidRPr="006333CC" w:rsidRDefault="00460678"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La recherche fondamentale qui embrasse tous les secteurs d’activité (agro-pastoral, sanitaire, minière, environnemental, halieutique etc.) est le pilier de tout développement. Aucun montant n’est dédié à la recherche ;</w:t>
      </w:r>
      <w:r w:rsidR="00C632CB" w:rsidRPr="006333CC">
        <w:rPr>
          <w:rFonts w:ascii="Times New Roman" w:hAnsi="Times New Roman" w:cs="Times New Roman"/>
          <w:sz w:val="28"/>
          <w:szCs w:val="28"/>
        </w:rPr>
        <w:t xml:space="preserve"> </w:t>
      </w:r>
      <w:r w:rsidR="00892CAE" w:rsidRPr="006333CC">
        <w:rPr>
          <w:rFonts w:ascii="Times New Roman" w:hAnsi="Times New Roman" w:cs="Times New Roman"/>
          <w:sz w:val="28"/>
          <w:szCs w:val="28"/>
        </w:rPr>
        <w:t>allouer une dotation suffisante au Ministère de l’enseignement supérieur dans le Cadre de la recherche ;</w:t>
      </w:r>
    </w:p>
    <w:p w14:paraId="5A2B91BE" w14:textId="77777777" w:rsidR="00460678" w:rsidRPr="006333CC" w:rsidRDefault="00460678" w:rsidP="00460678">
      <w:pPr>
        <w:pStyle w:val="Paragraphedeliste"/>
        <w:jc w:val="both"/>
        <w:rPr>
          <w:rFonts w:ascii="Times New Roman" w:hAnsi="Times New Roman" w:cs="Times New Roman"/>
          <w:sz w:val="28"/>
          <w:szCs w:val="28"/>
        </w:rPr>
      </w:pPr>
    </w:p>
    <w:p w14:paraId="548318BD" w14:textId="190356F3" w:rsidR="00460678" w:rsidRPr="006333CC" w:rsidRDefault="00C632CB"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Le</w:t>
      </w:r>
      <w:r w:rsidR="00460678" w:rsidRPr="006333CC">
        <w:rPr>
          <w:rFonts w:ascii="Times New Roman" w:hAnsi="Times New Roman" w:cs="Times New Roman"/>
          <w:sz w:val="28"/>
          <w:szCs w:val="28"/>
        </w:rPr>
        <w:t xml:space="preserve"> CNT constate que, malgré la budgétisation des projets de construction des villages artisanaux dans les lois des finances, ils peinent à être finalisés. </w:t>
      </w:r>
      <w:r w:rsidR="00460678" w:rsidRPr="006333CC">
        <w:rPr>
          <w:rFonts w:ascii="Times New Roman" w:hAnsi="Times New Roman" w:cs="Times New Roman"/>
          <w:b/>
          <w:bCs/>
          <w:sz w:val="28"/>
          <w:szCs w:val="28"/>
        </w:rPr>
        <w:t xml:space="preserve">Il invite par conséquent le Gouvernement à faire de la finalisation de ces projets une </w:t>
      </w:r>
      <w:r w:rsidRPr="006333CC">
        <w:rPr>
          <w:rFonts w:ascii="Times New Roman" w:hAnsi="Times New Roman" w:cs="Times New Roman"/>
          <w:b/>
          <w:bCs/>
          <w:sz w:val="28"/>
          <w:szCs w:val="28"/>
        </w:rPr>
        <w:t>priorité</w:t>
      </w:r>
      <w:r w:rsidRPr="006333CC">
        <w:rPr>
          <w:rFonts w:ascii="Times New Roman" w:hAnsi="Times New Roman" w:cs="Times New Roman"/>
          <w:sz w:val="28"/>
          <w:szCs w:val="28"/>
        </w:rPr>
        <w:t xml:space="preserve"> ;</w:t>
      </w:r>
    </w:p>
    <w:p w14:paraId="4458E805" w14:textId="77777777" w:rsidR="00460678" w:rsidRPr="006333CC" w:rsidRDefault="00460678" w:rsidP="00460678">
      <w:pPr>
        <w:pStyle w:val="Paragraphedeliste"/>
        <w:jc w:val="both"/>
        <w:rPr>
          <w:rFonts w:ascii="Times New Roman" w:hAnsi="Times New Roman" w:cs="Times New Roman"/>
          <w:sz w:val="28"/>
          <w:szCs w:val="28"/>
        </w:rPr>
      </w:pPr>
    </w:p>
    <w:p w14:paraId="7A16B998" w14:textId="260DD9B0" w:rsidR="00037827" w:rsidRPr="006333CC" w:rsidRDefault="00C632CB"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Vu</w:t>
      </w:r>
      <w:r w:rsidR="00460678" w:rsidRPr="006333CC">
        <w:rPr>
          <w:rFonts w:ascii="Times New Roman" w:hAnsi="Times New Roman" w:cs="Times New Roman"/>
          <w:sz w:val="28"/>
          <w:szCs w:val="28"/>
        </w:rPr>
        <w:t xml:space="preserve"> le rôle dévolu au </w:t>
      </w:r>
      <w:r w:rsidRPr="006333CC">
        <w:rPr>
          <w:rFonts w:ascii="Times New Roman" w:hAnsi="Times New Roman" w:cs="Times New Roman"/>
          <w:sz w:val="28"/>
          <w:szCs w:val="28"/>
        </w:rPr>
        <w:t xml:space="preserve">FODAC, </w:t>
      </w:r>
      <w:r w:rsidRPr="006333CC">
        <w:rPr>
          <w:rFonts w:ascii="Times New Roman" w:hAnsi="Times New Roman" w:cs="Times New Roman"/>
          <w:b/>
          <w:bCs/>
          <w:sz w:val="28"/>
          <w:szCs w:val="28"/>
        </w:rPr>
        <w:t>le</w:t>
      </w:r>
      <w:r w:rsidR="00460678" w:rsidRPr="006333CC">
        <w:rPr>
          <w:rFonts w:ascii="Times New Roman" w:hAnsi="Times New Roman" w:cs="Times New Roman"/>
          <w:b/>
          <w:bCs/>
          <w:sz w:val="28"/>
          <w:szCs w:val="28"/>
        </w:rPr>
        <w:t xml:space="preserve"> CNT invite le Gouvernement à rehausser suffisamment sa dotation et envisager la création d’un fonds pour le secteur du Cinéma</w:t>
      </w:r>
      <w:r w:rsidR="00460678" w:rsidRPr="006333CC">
        <w:rPr>
          <w:rFonts w:ascii="Times New Roman" w:hAnsi="Times New Roman" w:cs="Times New Roman"/>
          <w:sz w:val="28"/>
          <w:szCs w:val="28"/>
        </w:rPr>
        <w:t> ;</w:t>
      </w:r>
    </w:p>
    <w:p w14:paraId="1204EEC6" w14:textId="77777777" w:rsidR="00C632CB" w:rsidRPr="006333CC" w:rsidRDefault="00C632CB" w:rsidP="00C632CB">
      <w:pPr>
        <w:pStyle w:val="Paragraphedeliste"/>
        <w:rPr>
          <w:rFonts w:ascii="Times New Roman" w:hAnsi="Times New Roman" w:cs="Times New Roman"/>
          <w:sz w:val="28"/>
          <w:szCs w:val="28"/>
        </w:rPr>
      </w:pPr>
    </w:p>
    <w:p w14:paraId="385DE58B" w14:textId="1C0C51C3" w:rsidR="00460678" w:rsidRPr="006333CC" w:rsidRDefault="00C632CB"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Le</w:t>
      </w:r>
      <w:r w:rsidR="00460678" w:rsidRPr="006333CC">
        <w:rPr>
          <w:rFonts w:ascii="Times New Roman" w:hAnsi="Times New Roman" w:cs="Times New Roman"/>
          <w:sz w:val="28"/>
          <w:szCs w:val="28"/>
        </w:rPr>
        <w:t xml:space="preserve"> CNT constate que la subvention dédiée au ministère de la santé a connu une diminution de 45.000.000.00</w:t>
      </w:r>
      <w:r w:rsidR="0076165A" w:rsidRPr="006333CC">
        <w:rPr>
          <w:rFonts w:ascii="Times New Roman" w:hAnsi="Times New Roman" w:cs="Times New Roman"/>
          <w:sz w:val="28"/>
          <w:szCs w:val="28"/>
        </w:rPr>
        <w:t xml:space="preserve">0 </w:t>
      </w:r>
      <w:r w:rsidR="00460678" w:rsidRPr="006333CC">
        <w:rPr>
          <w:rFonts w:ascii="Times New Roman" w:hAnsi="Times New Roman" w:cs="Times New Roman"/>
          <w:sz w:val="28"/>
          <w:szCs w:val="28"/>
        </w:rPr>
        <w:t xml:space="preserve">GNF, ce qui pourrait impacter le fonctionnement de ses structures. Par conséquent </w:t>
      </w:r>
      <w:r w:rsidR="00460678" w:rsidRPr="006333CC">
        <w:rPr>
          <w:rFonts w:ascii="Times New Roman" w:hAnsi="Times New Roman" w:cs="Times New Roman"/>
          <w:b/>
          <w:bCs/>
          <w:sz w:val="28"/>
          <w:szCs w:val="28"/>
        </w:rPr>
        <w:t xml:space="preserve">il invite le Gouvernement à rehausser et payer régulièrement à temps le montant alloué au titre 4 </w:t>
      </w:r>
      <w:r w:rsidR="0076165A" w:rsidRPr="006333CC">
        <w:rPr>
          <w:rFonts w:ascii="Times New Roman" w:hAnsi="Times New Roman" w:cs="Times New Roman"/>
          <w:b/>
          <w:bCs/>
          <w:sz w:val="28"/>
          <w:szCs w:val="28"/>
        </w:rPr>
        <w:t>relatif</w:t>
      </w:r>
      <w:r w:rsidR="00460678" w:rsidRPr="006333CC">
        <w:rPr>
          <w:rFonts w:ascii="Times New Roman" w:hAnsi="Times New Roman" w:cs="Times New Roman"/>
          <w:b/>
          <w:bCs/>
          <w:sz w:val="28"/>
          <w:szCs w:val="28"/>
        </w:rPr>
        <w:t xml:space="preserve"> aux dépenses de transfert aux hôpitaux nationaux, régionaux, préfectoraux et centres de santé</w:t>
      </w:r>
      <w:r w:rsidR="00460678" w:rsidRPr="006333CC">
        <w:rPr>
          <w:rFonts w:ascii="Times New Roman" w:hAnsi="Times New Roman" w:cs="Times New Roman"/>
          <w:sz w:val="28"/>
          <w:szCs w:val="28"/>
        </w:rPr>
        <w:t>.</w:t>
      </w:r>
    </w:p>
    <w:p w14:paraId="053BC81C" w14:textId="0B42B7C1" w:rsidR="00460678" w:rsidRPr="006333CC" w:rsidRDefault="00460678" w:rsidP="00C632CB">
      <w:pPr>
        <w:pStyle w:val="Paragraphedeliste"/>
        <w:ind w:left="360"/>
        <w:jc w:val="both"/>
        <w:rPr>
          <w:rFonts w:ascii="Times New Roman" w:hAnsi="Times New Roman" w:cs="Times New Roman"/>
          <w:sz w:val="28"/>
          <w:szCs w:val="28"/>
        </w:rPr>
      </w:pPr>
      <w:r w:rsidRPr="006333CC">
        <w:rPr>
          <w:rFonts w:ascii="Times New Roman" w:hAnsi="Times New Roman" w:cs="Times New Roman"/>
          <w:sz w:val="28"/>
          <w:szCs w:val="28"/>
        </w:rPr>
        <w:lastRenderedPageBreak/>
        <w:t xml:space="preserve">De même pour palier à la concentration du personnel de santé à Conakry au détriment de </w:t>
      </w:r>
      <w:r w:rsidR="0076165A" w:rsidRPr="006333CC">
        <w:rPr>
          <w:rFonts w:ascii="Times New Roman" w:hAnsi="Times New Roman" w:cs="Times New Roman"/>
          <w:sz w:val="28"/>
          <w:szCs w:val="28"/>
        </w:rPr>
        <w:t>l’</w:t>
      </w:r>
      <w:r w:rsidRPr="006333CC">
        <w:rPr>
          <w:rFonts w:ascii="Times New Roman" w:hAnsi="Times New Roman" w:cs="Times New Roman"/>
          <w:sz w:val="28"/>
          <w:szCs w:val="28"/>
        </w:rPr>
        <w:t xml:space="preserve">intérieur; </w:t>
      </w:r>
      <w:r w:rsidRPr="006333CC">
        <w:rPr>
          <w:rFonts w:ascii="Times New Roman" w:hAnsi="Times New Roman" w:cs="Times New Roman"/>
          <w:b/>
          <w:bCs/>
          <w:sz w:val="28"/>
          <w:szCs w:val="28"/>
        </w:rPr>
        <w:t xml:space="preserve">le CNT recommande son redéploiement  </w:t>
      </w:r>
      <w:r w:rsidR="0076165A" w:rsidRPr="006333CC">
        <w:rPr>
          <w:rFonts w:ascii="Times New Roman" w:hAnsi="Times New Roman" w:cs="Times New Roman"/>
          <w:b/>
          <w:bCs/>
          <w:sz w:val="28"/>
          <w:szCs w:val="28"/>
        </w:rPr>
        <w:t>sur toute l’étendue du territoire national</w:t>
      </w:r>
      <w:r w:rsidR="0076165A" w:rsidRPr="006333CC">
        <w:rPr>
          <w:rFonts w:ascii="Times New Roman" w:hAnsi="Times New Roman" w:cs="Times New Roman"/>
          <w:sz w:val="28"/>
          <w:szCs w:val="28"/>
        </w:rPr>
        <w:t xml:space="preserve">. </w:t>
      </w:r>
    </w:p>
    <w:p w14:paraId="6178A001" w14:textId="77777777" w:rsidR="00460678" w:rsidRPr="006333CC" w:rsidRDefault="00460678" w:rsidP="00460678">
      <w:pPr>
        <w:pStyle w:val="Paragraphedeliste"/>
        <w:jc w:val="both"/>
        <w:rPr>
          <w:rFonts w:ascii="Times New Roman" w:hAnsi="Times New Roman" w:cs="Times New Roman"/>
          <w:sz w:val="28"/>
          <w:szCs w:val="28"/>
        </w:rPr>
      </w:pPr>
    </w:p>
    <w:p w14:paraId="0A2A54C1" w14:textId="23BEF2B5" w:rsidR="000170C8" w:rsidRPr="006333CC" w:rsidRDefault="00C632CB"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I</w:t>
      </w:r>
      <w:r w:rsidR="00460678" w:rsidRPr="006333CC">
        <w:rPr>
          <w:rFonts w:ascii="Times New Roman" w:hAnsi="Times New Roman" w:cs="Times New Roman"/>
          <w:sz w:val="28"/>
          <w:szCs w:val="28"/>
        </w:rPr>
        <w:t>l ressort une insuffisance de ressources allouées à l’Institut National de la Jeunesse, de l’Education Physique et des Sports (INJEPS) et au FONIJ malgré leurs importances dans le cadre</w:t>
      </w:r>
      <w:r w:rsidR="0076165A" w:rsidRPr="006333CC">
        <w:rPr>
          <w:rFonts w:ascii="Times New Roman" w:hAnsi="Times New Roman" w:cs="Times New Roman"/>
          <w:sz w:val="28"/>
          <w:szCs w:val="28"/>
        </w:rPr>
        <w:t xml:space="preserve"> de l’autonomisation des jeunes. A cet effet,</w:t>
      </w:r>
      <w:r w:rsidR="00460678" w:rsidRPr="006333CC">
        <w:rPr>
          <w:rFonts w:ascii="Times New Roman" w:hAnsi="Times New Roman" w:cs="Times New Roman"/>
          <w:sz w:val="28"/>
          <w:szCs w:val="28"/>
        </w:rPr>
        <w:t xml:space="preserve"> </w:t>
      </w:r>
      <w:r w:rsidR="00460678" w:rsidRPr="006333CC">
        <w:rPr>
          <w:rFonts w:ascii="Times New Roman" w:hAnsi="Times New Roman" w:cs="Times New Roman"/>
          <w:b/>
          <w:bCs/>
          <w:sz w:val="28"/>
          <w:szCs w:val="28"/>
        </w:rPr>
        <w:t>le CNT recommande de rehausser leurs budgets</w:t>
      </w:r>
      <w:r w:rsidRPr="006333CC">
        <w:rPr>
          <w:rFonts w:ascii="Times New Roman" w:hAnsi="Times New Roman" w:cs="Times New Roman"/>
          <w:sz w:val="28"/>
          <w:szCs w:val="28"/>
        </w:rPr>
        <w:t>.</w:t>
      </w:r>
    </w:p>
    <w:p w14:paraId="4939703A" w14:textId="15021AC0" w:rsidR="00460678" w:rsidRPr="006333CC" w:rsidRDefault="00460678" w:rsidP="000170C8">
      <w:pPr>
        <w:pStyle w:val="Paragraphedeliste"/>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 </w:t>
      </w:r>
    </w:p>
    <w:p w14:paraId="3884E05E" w14:textId="77777777" w:rsidR="000170C8" w:rsidRPr="006333CC" w:rsidRDefault="000170C8"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Dans le cadre de l’examen de la PLFI 2024, il apparait une lenteur dans l’exécution des projets FINEX et la nécessité de renforcer les capacités humaines et matérielles des instituts de recherches dans le secteur agricole. </w:t>
      </w:r>
      <w:r w:rsidRPr="006333CC">
        <w:rPr>
          <w:rFonts w:ascii="Times New Roman" w:hAnsi="Times New Roman" w:cs="Times New Roman"/>
          <w:b/>
          <w:bCs/>
          <w:sz w:val="28"/>
          <w:szCs w:val="28"/>
        </w:rPr>
        <w:t>Le CNT recommande de mettre en place un mécanisme de renforcement du management et des capacités institutionnelles des structures de recherches afin d’améliorer le taux de décaissement des projets FINEX d’une part et renforcer les centres et laboratoire de recherche du secteur d’autre par</w:t>
      </w:r>
      <w:r w:rsidRPr="006333CC">
        <w:rPr>
          <w:rFonts w:ascii="Times New Roman" w:hAnsi="Times New Roman" w:cs="Times New Roman"/>
          <w:sz w:val="28"/>
          <w:szCs w:val="28"/>
        </w:rPr>
        <w:t>t.</w:t>
      </w:r>
    </w:p>
    <w:p w14:paraId="0F3533DB" w14:textId="77777777" w:rsidR="00C632CB" w:rsidRPr="006333CC" w:rsidRDefault="00C632CB" w:rsidP="00C632CB">
      <w:pPr>
        <w:pStyle w:val="Paragraphedeliste"/>
        <w:rPr>
          <w:rFonts w:ascii="Times New Roman" w:hAnsi="Times New Roman" w:cs="Times New Roman"/>
          <w:sz w:val="28"/>
          <w:szCs w:val="28"/>
        </w:rPr>
      </w:pPr>
    </w:p>
    <w:p w14:paraId="26D85AB5" w14:textId="0078F84D" w:rsidR="000170C8" w:rsidRPr="006333CC" w:rsidRDefault="000170C8"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Les enjeux du changement climatique constituent une préoccupation majeure. </w:t>
      </w:r>
      <w:r w:rsidRPr="006333CC">
        <w:rPr>
          <w:rFonts w:ascii="Times New Roman" w:hAnsi="Times New Roman" w:cs="Times New Roman"/>
          <w:b/>
          <w:bCs/>
          <w:sz w:val="28"/>
          <w:szCs w:val="28"/>
        </w:rPr>
        <w:t>Le CNT invite le Gouvernement à promouvoir l’éducation environnementale, à poursuivre le processus de récupération, de protection et d’aménagement des forêts péri-urbaines</w:t>
      </w:r>
      <w:r w:rsidRPr="006333CC">
        <w:rPr>
          <w:rFonts w:ascii="Times New Roman" w:hAnsi="Times New Roman" w:cs="Times New Roman"/>
          <w:sz w:val="28"/>
          <w:szCs w:val="28"/>
        </w:rPr>
        <w:t xml:space="preserve">. </w:t>
      </w:r>
      <w:r w:rsidRPr="006333CC">
        <w:rPr>
          <w:rFonts w:ascii="Times New Roman" w:hAnsi="Times New Roman" w:cs="Times New Roman"/>
          <w:b/>
          <w:bCs/>
          <w:sz w:val="28"/>
          <w:szCs w:val="28"/>
        </w:rPr>
        <w:t>A cet effet, il recommande également la réhabilitation de la loi « FRIA » qui constitue de nos jours une référence pour plusieurs pays</w:t>
      </w:r>
      <w:r w:rsidRPr="006333CC">
        <w:rPr>
          <w:rFonts w:ascii="Times New Roman" w:hAnsi="Times New Roman" w:cs="Times New Roman"/>
          <w:sz w:val="28"/>
          <w:szCs w:val="28"/>
        </w:rPr>
        <w:t>.</w:t>
      </w:r>
    </w:p>
    <w:p w14:paraId="3915F8C1" w14:textId="77777777" w:rsidR="001019F2" w:rsidRPr="006333CC" w:rsidRDefault="001019F2" w:rsidP="001019F2">
      <w:pPr>
        <w:pStyle w:val="Paragraphedeliste"/>
        <w:jc w:val="both"/>
        <w:rPr>
          <w:rFonts w:ascii="Times New Roman" w:eastAsia="Times New Roman" w:hAnsi="Times New Roman" w:cs="Times New Roman"/>
          <w:color w:val="000000"/>
          <w:sz w:val="28"/>
          <w:szCs w:val="28"/>
        </w:rPr>
      </w:pPr>
    </w:p>
    <w:p w14:paraId="7DD860EE" w14:textId="77777777" w:rsidR="00717664" w:rsidRPr="006333CC" w:rsidRDefault="001019F2"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Le ministère de la Défense dispose d’unités de production qui développent des activités d’intérêt économiques et général. A ce titre, il contribue de manière substantielle à l’effort de développement socioéconomique de la Guinée.  C’est le cas du bataillon du génie agricole, du bataillon du génie militaire et de l’usine militaire du Camps Alpha Yaya. </w:t>
      </w:r>
      <w:r w:rsidRPr="006333CC">
        <w:rPr>
          <w:rFonts w:ascii="Times New Roman" w:hAnsi="Times New Roman" w:cs="Times New Roman"/>
          <w:b/>
          <w:bCs/>
          <w:sz w:val="28"/>
          <w:szCs w:val="28"/>
        </w:rPr>
        <w:t>Le CNT encourage le ministère de la Défense à la réorganiser et restructurer ces unités en vue de leur autonomie</w:t>
      </w:r>
      <w:r w:rsidR="00470140" w:rsidRPr="006333CC">
        <w:rPr>
          <w:rFonts w:ascii="Times New Roman" w:hAnsi="Times New Roman" w:cs="Times New Roman"/>
          <w:b/>
          <w:bCs/>
          <w:sz w:val="28"/>
          <w:szCs w:val="28"/>
        </w:rPr>
        <w:t xml:space="preserve"> financière</w:t>
      </w:r>
      <w:r w:rsidR="00470140" w:rsidRPr="006333CC">
        <w:rPr>
          <w:rFonts w:ascii="Times New Roman" w:hAnsi="Times New Roman" w:cs="Times New Roman"/>
          <w:sz w:val="28"/>
          <w:szCs w:val="28"/>
        </w:rPr>
        <w:t>.</w:t>
      </w:r>
      <w:r w:rsidRPr="006333CC">
        <w:rPr>
          <w:rFonts w:ascii="Times New Roman" w:hAnsi="Times New Roman" w:cs="Times New Roman"/>
          <w:sz w:val="28"/>
          <w:szCs w:val="28"/>
        </w:rPr>
        <w:t xml:space="preserve"> A titre illustratif, le génie militaire pourrait monter en puissance et participer aux activités d’études-conseils et de réalisation des travaux</w:t>
      </w:r>
      <w:r w:rsidR="00470140" w:rsidRPr="006333CC">
        <w:rPr>
          <w:rFonts w:ascii="Times New Roman" w:hAnsi="Times New Roman" w:cs="Times New Roman"/>
          <w:sz w:val="28"/>
          <w:szCs w:val="28"/>
        </w:rPr>
        <w:t>.</w:t>
      </w:r>
      <w:r w:rsidRPr="006333CC">
        <w:rPr>
          <w:rFonts w:ascii="Times New Roman" w:hAnsi="Times New Roman" w:cs="Times New Roman"/>
          <w:sz w:val="28"/>
          <w:szCs w:val="28"/>
        </w:rPr>
        <w:t xml:space="preserve">  </w:t>
      </w:r>
    </w:p>
    <w:p w14:paraId="61B405F9" w14:textId="77777777" w:rsidR="00717664" w:rsidRPr="006333CC" w:rsidRDefault="00717664" w:rsidP="00717664">
      <w:pPr>
        <w:pStyle w:val="Paragraphedeliste"/>
        <w:rPr>
          <w:rFonts w:ascii="Times New Roman" w:hAnsi="Times New Roman" w:cs="Times New Roman"/>
          <w:sz w:val="28"/>
          <w:szCs w:val="28"/>
        </w:rPr>
      </w:pPr>
    </w:p>
    <w:p w14:paraId="50EEF84D" w14:textId="67AAA812" w:rsidR="001019F2" w:rsidRPr="006333CC" w:rsidRDefault="001019F2"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Le CNT</w:t>
      </w:r>
      <w:r w:rsidR="00470140" w:rsidRPr="006333CC">
        <w:rPr>
          <w:rFonts w:ascii="Times New Roman" w:hAnsi="Times New Roman" w:cs="Times New Roman"/>
          <w:sz w:val="28"/>
          <w:szCs w:val="28"/>
        </w:rPr>
        <w:t xml:space="preserve"> </w:t>
      </w:r>
      <w:r w:rsidRPr="006333CC">
        <w:rPr>
          <w:rFonts w:ascii="Times New Roman" w:hAnsi="Times New Roman" w:cs="Times New Roman"/>
          <w:sz w:val="28"/>
          <w:szCs w:val="28"/>
        </w:rPr>
        <w:t xml:space="preserve">s’est </w:t>
      </w:r>
      <w:r w:rsidR="004C1F70" w:rsidRPr="006333CC">
        <w:rPr>
          <w:rFonts w:ascii="Times New Roman" w:hAnsi="Times New Roman" w:cs="Times New Roman"/>
          <w:sz w:val="28"/>
          <w:szCs w:val="28"/>
        </w:rPr>
        <w:t>intéressé</w:t>
      </w:r>
      <w:r w:rsidRPr="006333CC">
        <w:rPr>
          <w:rFonts w:ascii="Times New Roman" w:hAnsi="Times New Roman" w:cs="Times New Roman"/>
          <w:sz w:val="28"/>
          <w:szCs w:val="28"/>
        </w:rPr>
        <w:t xml:space="preserve"> </w:t>
      </w:r>
      <w:r w:rsidR="00470140" w:rsidRPr="006333CC">
        <w:rPr>
          <w:rFonts w:ascii="Times New Roman" w:hAnsi="Times New Roman" w:cs="Times New Roman"/>
          <w:sz w:val="28"/>
          <w:szCs w:val="28"/>
        </w:rPr>
        <w:t xml:space="preserve">à la situation du </w:t>
      </w:r>
      <w:r w:rsidRPr="006333CC">
        <w:rPr>
          <w:rFonts w:ascii="Times New Roman" w:hAnsi="Times New Roman" w:cs="Times New Roman"/>
          <w:sz w:val="28"/>
          <w:szCs w:val="28"/>
        </w:rPr>
        <w:t>personnel civil travaillant</w:t>
      </w:r>
      <w:r w:rsidR="004C1F70" w:rsidRPr="006333CC">
        <w:rPr>
          <w:rFonts w:ascii="Times New Roman" w:hAnsi="Times New Roman" w:cs="Times New Roman"/>
          <w:sz w:val="28"/>
          <w:szCs w:val="28"/>
        </w:rPr>
        <w:t xml:space="preserve"> à </w:t>
      </w:r>
      <w:r w:rsidR="008A2776" w:rsidRPr="006333CC">
        <w:rPr>
          <w:rFonts w:ascii="Times New Roman" w:hAnsi="Times New Roman" w:cs="Times New Roman"/>
          <w:sz w:val="28"/>
          <w:szCs w:val="28"/>
        </w:rPr>
        <w:t>l’Usine militaire ;</w:t>
      </w:r>
      <w:r w:rsidR="00470140" w:rsidRPr="006333CC">
        <w:rPr>
          <w:rFonts w:ascii="Times New Roman" w:hAnsi="Times New Roman" w:cs="Times New Roman"/>
          <w:sz w:val="28"/>
          <w:szCs w:val="28"/>
        </w:rPr>
        <w:t xml:space="preserve"> il</w:t>
      </w:r>
      <w:r w:rsidRPr="006333CC">
        <w:rPr>
          <w:rFonts w:ascii="Times New Roman" w:hAnsi="Times New Roman" w:cs="Times New Roman"/>
          <w:sz w:val="28"/>
          <w:szCs w:val="28"/>
        </w:rPr>
        <w:t xml:space="preserve"> s’est révélé que </w:t>
      </w:r>
      <w:r w:rsidR="00470140" w:rsidRPr="006333CC">
        <w:rPr>
          <w:rFonts w:ascii="Times New Roman" w:hAnsi="Times New Roman" w:cs="Times New Roman"/>
          <w:sz w:val="28"/>
          <w:szCs w:val="28"/>
        </w:rPr>
        <w:t>l’unité</w:t>
      </w:r>
      <w:r w:rsidRPr="006333CC">
        <w:rPr>
          <w:rFonts w:ascii="Times New Roman" w:hAnsi="Times New Roman" w:cs="Times New Roman"/>
          <w:sz w:val="28"/>
          <w:szCs w:val="28"/>
        </w:rPr>
        <w:t xml:space="preserve"> concerné</w:t>
      </w:r>
      <w:r w:rsidR="00470140" w:rsidRPr="006333CC">
        <w:rPr>
          <w:rFonts w:ascii="Times New Roman" w:hAnsi="Times New Roman" w:cs="Times New Roman"/>
          <w:sz w:val="28"/>
          <w:szCs w:val="28"/>
        </w:rPr>
        <w:t>e</w:t>
      </w:r>
      <w:r w:rsidRPr="006333CC">
        <w:rPr>
          <w:rFonts w:ascii="Times New Roman" w:hAnsi="Times New Roman" w:cs="Times New Roman"/>
          <w:sz w:val="28"/>
          <w:szCs w:val="28"/>
        </w:rPr>
        <w:t xml:space="preserve"> ne dispose pas de ressources </w:t>
      </w:r>
      <w:r w:rsidRPr="006333CC">
        <w:rPr>
          <w:rFonts w:ascii="Times New Roman" w:hAnsi="Times New Roman" w:cs="Times New Roman"/>
          <w:sz w:val="28"/>
          <w:szCs w:val="28"/>
        </w:rPr>
        <w:lastRenderedPageBreak/>
        <w:t xml:space="preserve">suffisantes pour la prise en charge régulière dudit personnel. Vu cet état de fait, </w:t>
      </w:r>
      <w:r w:rsidRPr="006333CC">
        <w:rPr>
          <w:rFonts w:ascii="Times New Roman" w:hAnsi="Times New Roman" w:cs="Times New Roman"/>
          <w:b/>
          <w:bCs/>
          <w:sz w:val="28"/>
          <w:szCs w:val="28"/>
        </w:rPr>
        <w:t xml:space="preserve">le CNT encourage le ministère de la Défense à </w:t>
      </w:r>
      <w:r w:rsidR="00470140" w:rsidRPr="006333CC">
        <w:rPr>
          <w:rFonts w:ascii="Times New Roman" w:hAnsi="Times New Roman" w:cs="Times New Roman"/>
          <w:b/>
          <w:bCs/>
          <w:sz w:val="28"/>
          <w:szCs w:val="28"/>
        </w:rPr>
        <w:t xml:space="preserve">leur </w:t>
      </w:r>
      <w:r w:rsidRPr="006333CC">
        <w:rPr>
          <w:rFonts w:ascii="Times New Roman" w:hAnsi="Times New Roman" w:cs="Times New Roman"/>
          <w:b/>
          <w:bCs/>
          <w:sz w:val="28"/>
          <w:szCs w:val="28"/>
        </w:rPr>
        <w:t>prise en charge</w:t>
      </w:r>
      <w:r w:rsidR="00470140" w:rsidRPr="006333CC">
        <w:rPr>
          <w:rFonts w:ascii="Times New Roman" w:hAnsi="Times New Roman" w:cs="Times New Roman"/>
          <w:b/>
          <w:bCs/>
          <w:sz w:val="28"/>
          <w:szCs w:val="28"/>
        </w:rPr>
        <w:t xml:space="preserve"> dans sa</w:t>
      </w:r>
      <w:r w:rsidRPr="006333CC">
        <w:rPr>
          <w:rFonts w:ascii="Times New Roman" w:hAnsi="Times New Roman" w:cs="Times New Roman"/>
          <w:b/>
          <w:bCs/>
          <w:sz w:val="28"/>
          <w:szCs w:val="28"/>
        </w:rPr>
        <w:t xml:space="preserve"> prévision budgétaire </w:t>
      </w:r>
      <w:r w:rsidR="00470140" w:rsidRPr="006333CC">
        <w:rPr>
          <w:rFonts w:ascii="Times New Roman" w:hAnsi="Times New Roman" w:cs="Times New Roman"/>
          <w:b/>
          <w:bCs/>
          <w:sz w:val="28"/>
          <w:szCs w:val="28"/>
        </w:rPr>
        <w:t>de la</w:t>
      </w:r>
      <w:r w:rsidRPr="006333CC">
        <w:rPr>
          <w:rFonts w:ascii="Times New Roman" w:hAnsi="Times New Roman" w:cs="Times New Roman"/>
          <w:b/>
          <w:bCs/>
          <w:sz w:val="28"/>
          <w:szCs w:val="28"/>
        </w:rPr>
        <w:t xml:space="preserve"> LFR 2024</w:t>
      </w:r>
      <w:r w:rsidRPr="006333CC">
        <w:rPr>
          <w:rFonts w:ascii="Times New Roman" w:hAnsi="Times New Roman" w:cs="Times New Roman"/>
          <w:sz w:val="28"/>
          <w:szCs w:val="28"/>
        </w:rPr>
        <w:t>.</w:t>
      </w:r>
    </w:p>
    <w:p w14:paraId="5F15C9AF" w14:textId="77777777" w:rsidR="00C632CB" w:rsidRPr="006333CC" w:rsidRDefault="00C632CB" w:rsidP="00C632CB">
      <w:pPr>
        <w:pStyle w:val="Paragraphedeliste"/>
        <w:rPr>
          <w:rFonts w:ascii="Times New Roman" w:hAnsi="Times New Roman" w:cs="Times New Roman"/>
          <w:sz w:val="28"/>
          <w:szCs w:val="28"/>
        </w:rPr>
      </w:pPr>
    </w:p>
    <w:p w14:paraId="4D48008C" w14:textId="06191DEF" w:rsidR="004724F3" w:rsidRPr="006333CC" w:rsidRDefault="00717664"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 La sécurisation du système de communication des unités de sécurité et de protection civile constitue une   faiblesse notoire en termes de couverture territoriale, </w:t>
      </w:r>
      <w:r w:rsidRPr="006333CC">
        <w:rPr>
          <w:rFonts w:ascii="Times New Roman" w:hAnsi="Times New Roman" w:cs="Times New Roman"/>
          <w:b/>
          <w:bCs/>
          <w:sz w:val="28"/>
          <w:szCs w:val="28"/>
        </w:rPr>
        <w:t>le CNT recommande la mise à disposition de moyens financiers conséquent pour la finalisation du projet radiocommunication VHF et HF du MSPC</w:t>
      </w:r>
      <w:r w:rsidR="00C632CB" w:rsidRPr="006333CC">
        <w:rPr>
          <w:rFonts w:ascii="Times New Roman" w:hAnsi="Times New Roman" w:cs="Times New Roman"/>
          <w:sz w:val="28"/>
          <w:szCs w:val="28"/>
        </w:rPr>
        <w:t>.</w:t>
      </w:r>
    </w:p>
    <w:p w14:paraId="0A2D790B" w14:textId="77777777" w:rsidR="00C632CB" w:rsidRPr="006333CC" w:rsidRDefault="00C632CB" w:rsidP="00C632CB">
      <w:pPr>
        <w:pStyle w:val="Paragraphedeliste"/>
        <w:rPr>
          <w:rFonts w:ascii="Times New Roman" w:hAnsi="Times New Roman" w:cs="Times New Roman"/>
          <w:sz w:val="28"/>
          <w:szCs w:val="28"/>
        </w:rPr>
      </w:pPr>
    </w:p>
    <w:p w14:paraId="41BFBFF2" w14:textId="68ACCAD6" w:rsidR="0085076B" w:rsidRPr="006333CC" w:rsidRDefault="00C632CB"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De nombreux</w:t>
      </w:r>
      <w:r w:rsidR="004D061A" w:rsidRPr="006333CC">
        <w:rPr>
          <w:rFonts w:ascii="Times New Roman" w:hAnsi="Times New Roman" w:cs="Times New Roman"/>
          <w:sz w:val="28"/>
          <w:szCs w:val="28"/>
        </w:rPr>
        <w:t xml:space="preserve"> Guinéens vivant</w:t>
      </w:r>
      <w:r w:rsidR="004724F3" w:rsidRPr="006333CC">
        <w:rPr>
          <w:rFonts w:ascii="Times New Roman" w:hAnsi="Times New Roman" w:cs="Times New Roman"/>
          <w:sz w:val="28"/>
          <w:szCs w:val="28"/>
        </w:rPr>
        <w:t>s</w:t>
      </w:r>
      <w:r w:rsidR="004D061A" w:rsidRPr="006333CC">
        <w:rPr>
          <w:rFonts w:ascii="Times New Roman" w:hAnsi="Times New Roman" w:cs="Times New Roman"/>
          <w:sz w:val="28"/>
          <w:szCs w:val="28"/>
        </w:rPr>
        <w:t xml:space="preserve"> à l'étranger se trouvent </w:t>
      </w:r>
      <w:r w:rsidR="004724F3" w:rsidRPr="006333CC">
        <w:rPr>
          <w:rFonts w:ascii="Times New Roman" w:hAnsi="Times New Roman" w:cs="Times New Roman"/>
          <w:sz w:val="28"/>
          <w:szCs w:val="28"/>
        </w:rPr>
        <w:t xml:space="preserve">souvent </w:t>
      </w:r>
      <w:r w:rsidR="004D061A" w:rsidRPr="006333CC">
        <w:rPr>
          <w:rFonts w:ascii="Times New Roman" w:hAnsi="Times New Roman" w:cs="Times New Roman"/>
          <w:sz w:val="28"/>
          <w:szCs w:val="28"/>
        </w:rPr>
        <w:t>confrontés pour des raisons diverses</w:t>
      </w:r>
      <w:r w:rsidR="004724F3" w:rsidRPr="006333CC">
        <w:rPr>
          <w:rFonts w:ascii="Times New Roman" w:hAnsi="Times New Roman" w:cs="Times New Roman"/>
          <w:sz w:val="28"/>
          <w:szCs w:val="28"/>
        </w:rPr>
        <w:t xml:space="preserve"> </w:t>
      </w:r>
      <w:r w:rsidR="004D061A" w:rsidRPr="006333CC">
        <w:rPr>
          <w:rFonts w:ascii="Times New Roman" w:hAnsi="Times New Roman" w:cs="Times New Roman"/>
          <w:sz w:val="28"/>
          <w:szCs w:val="28"/>
        </w:rPr>
        <w:t>(catastrophe naturelle,</w:t>
      </w:r>
      <w:r w:rsidR="004724F3" w:rsidRPr="006333CC">
        <w:rPr>
          <w:rFonts w:ascii="Times New Roman" w:hAnsi="Times New Roman" w:cs="Times New Roman"/>
          <w:sz w:val="28"/>
          <w:szCs w:val="28"/>
        </w:rPr>
        <w:t xml:space="preserve"> </w:t>
      </w:r>
      <w:r w:rsidR="004D061A" w:rsidRPr="006333CC">
        <w:rPr>
          <w:rFonts w:ascii="Times New Roman" w:hAnsi="Times New Roman" w:cs="Times New Roman"/>
          <w:sz w:val="28"/>
          <w:szCs w:val="28"/>
        </w:rPr>
        <w:t xml:space="preserve">conflit interne ou politique xénophobe) à des difficultés insurmontables qui les plongent dans une situation de détresse profonde. Ils se retrouvent démunis et abandonnés sans assistance ni recours possible. </w:t>
      </w:r>
      <w:r w:rsidR="004724F3" w:rsidRPr="006333CC">
        <w:rPr>
          <w:rFonts w:ascii="Times New Roman" w:hAnsi="Times New Roman" w:cs="Times New Roman"/>
          <w:b/>
          <w:bCs/>
          <w:sz w:val="28"/>
          <w:szCs w:val="28"/>
        </w:rPr>
        <w:t>Le CNT invite le gouvernement à prévoir une dotation au titre 4 du Ministère des Affaires Etrangères en termes d'assistance et d'intervention d'urgence en faveur des guinéens en difficulté à l'étranger</w:t>
      </w:r>
      <w:r w:rsidR="004724F3" w:rsidRPr="006333CC">
        <w:rPr>
          <w:rFonts w:ascii="Times New Roman" w:hAnsi="Times New Roman" w:cs="Times New Roman"/>
          <w:sz w:val="28"/>
          <w:szCs w:val="28"/>
        </w:rPr>
        <w:t>.</w:t>
      </w:r>
    </w:p>
    <w:p w14:paraId="17353FE2" w14:textId="77777777" w:rsidR="00C632CB" w:rsidRPr="006333CC" w:rsidRDefault="00C632CB" w:rsidP="00C632CB">
      <w:pPr>
        <w:pStyle w:val="Paragraphedeliste"/>
        <w:rPr>
          <w:rFonts w:ascii="Times New Roman" w:hAnsi="Times New Roman" w:cs="Times New Roman"/>
          <w:sz w:val="28"/>
          <w:szCs w:val="28"/>
        </w:rPr>
      </w:pPr>
    </w:p>
    <w:p w14:paraId="19E628E9" w14:textId="48F68E5A" w:rsidR="004D061A" w:rsidRPr="006333CC" w:rsidRDefault="0085076B"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Au vu de l’importance du Haut Conseil des Guinéens de L’Etranger (HCGE) pour la mobilisation et l’implication des Guinéens de </w:t>
      </w:r>
      <w:r w:rsidR="00011A74" w:rsidRPr="006333CC">
        <w:rPr>
          <w:rFonts w:ascii="Times New Roman" w:hAnsi="Times New Roman" w:cs="Times New Roman"/>
          <w:sz w:val="28"/>
          <w:szCs w:val="28"/>
        </w:rPr>
        <w:t>l’étranger</w:t>
      </w:r>
      <w:r w:rsidRPr="006333CC">
        <w:rPr>
          <w:rFonts w:ascii="Times New Roman" w:hAnsi="Times New Roman" w:cs="Times New Roman"/>
          <w:sz w:val="28"/>
          <w:szCs w:val="28"/>
        </w:rPr>
        <w:t xml:space="preserve"> dans le développement socioéconomique du pays il est nécessaire de le soutenir. A cet effet, </w:t>
      </w:r>
      <w:r w:rsidRPr="006333CC">
        <w:rPr>
          <w:rFonts w:ascii="Times New Roman" w:hAnsi="Times New Roman" w:cs="Times New Roman"/>
          <w:b/>
          <w:bCs/>
          <w:sz w:val="28"/>
          <w:szCs w:val="28"/>
        </w:rPr>
        <w:t xml:space="preserve">le CNT </w:t>
      </w:r>
      <w:r w:rsidR="00011A74" w:rsidRPr="006333CC">
        <w:rPr>
          <w:rFonts w:ascii="Times New Roman" w:hAnsi="Times New Roman" w:cs="Times New Roman"/>
          <w:b/>
          <w:bCs/>
          <w:sz w:val="28"/>
          <w:szCs w:val="28"/>
        </w:rPr>
        <w:t>conformément</w:t>
      </w:r>
      <w:r w:rsidRPr="006333CC">
        <w:rPr>
          <w:rFonts w:ascii="Times New Roman" w:hAnsi="Times New Roman" w:cs="Times New Roman"/>
          <w:b/>
          <w:bCs/>
          <w:sz w:val="28"/>
          <w:szCs w:val="28"/>
        </w:rPr>
        <w:t xml:space="preserve"> à</w:t>
      </w:r>
      <w:r w:rsidR="00011A74" w:rsidRPr="006333CC">
        <w:rPr>
          <w:rFonts w:ascii="Times New Roman" w:hAnsi="Times New Roman" w:cs="Times New Roman"/>
          <w:b/>
          <w:bCs/>
          <w:sz w:val="28"/>
          <w:szCs w:val="28"/>
        </w:rPr>
        <w:t xml:space="preserve"> </w:t>
      </w:r>
      <w:r w:rsidRPr="006333CC">
        <w:rPr>
          <w:rFonts w:ascii="Times New Roman" w:hAnsi="Times New Roman" w:cs="Times New Roman"/>
          <w:b/>
          <w:bCs/>
          <w:sz w:val="28"/>
          <w:szCs w:val="28"/>
        </w:rPr>
        <w:t xml:space="preserve">l’article 10 du décret 122 du 3 mai 2021 invite le gouvernement à prévoir les frais </w:t>
      </w:r>
      <w:r w:rsidR="00011A74" w:rsidRPr="006333CC">
        <w:rPr>
          <w:rFonts w:ascii="Times New Roman" w:hAnsi="Times New Roman" w:cs="Times New Roman"/>
          <w:b/>
          <w:bCs/>
          <w:sz w:val="28"/>
          <w:szCs w:val="28"/>
        </w:rPr>
        <w:t>afférents</w:t>
      </w:r>
      <w:r w:rsidRPr="006333CC">
        <w:rPr>
          <w:rFonts w:ascii="Times New Roman" w:hAnsi="Times New Roman" w:cs="Times New Roman"/>
          <w:b/>
          <w:bCs/>
          <w:sz w:val="28"/>
          <w:szCs w:val="28"/>
        </w:rPr>
        <w:t xml:space="preserve"> aux differentes sessions de l’Assemblée </w:t>
      </w:r>
      <w:r w:rsidR="00011A74" w:rsidRPr="006333CC">
        <w:rPr>
          <w:rFonts w:ascii="Times New Roman" w:hAnsi="Times New Roman" w:cs="Times New Roman"/>
          <w:b/>
          <w:bCs/>
          <w:sz w:val="28"/>
          <w:szCs w:val="28"/>
        </w:rPr>
        <w:t>Générale</w:t>
      </w:r>
      <w:r w:rsidRPr="006333CC">
        <w:rPr>
          <w:rFonts w:ascii="Times New Roman" w:hAnsi="Times New Roman" w:cs="Times New Roman"/>
          <w:b/>
          <w:bCs/>
          <w:sz w:val="28"/>
          <w:szCs w:val="28"/>
        </w:rPr>
        <w:t xml:space="preserve"> du HCGE imputable au budget du Ministère des Affaires Etrangères</w:t>
      </w:r>
      <w:r w:rsidRPr="006333CC">
        <w:rPr>
          <w:rFonts w:ascii="Times New Roman" w:hAnsi="Times New Roman" w:cs="Times New Roman"/>
          <w:sz w:val="28"/>
          <w:szCs w:val="28"/>
        </w:rPr>
        <w:t>.</w:t>
      </w:r>
    </w:p>
    <w:p w14:paraId="5A398950" w14:textId="77777777" w:rsidR="00C632CB" w:rsidRPr="006333CC" w:rsidRDefault="00C632CB" w:rsidP="00C632CB">
      <w:pPr>
        <w:pStyle w:val="Paragraphedeliste"/>
        <w:rPr>
          <w:rFonts w:ascii="Times New Roman" w:hAnsi="Times New Roman" w:cs="Times New Roman"/>
          <w:sz w:val="28"/>
          <w:szCs w:val="28"/>
        </w:rPr>
      </w:pPr>
    </w:p>
    <w:p w14:paraId="22B1D090" w14:textId="00A42CA1" w:rsidR="00583385" w:rsidRPr="006333CC" w:rsidRDefault="00583385"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Depuis son installation, le CNT n’a reçu aucune loi de règlement transmise par le Gouvernement en violation de </w:t>
      </w:r>
      <w:r w:rsidR="00C632CB" w:rsidRPr="006333CC">
        <w:rPr>
          <w:rFonts w:ascii="Times New Roman" w:hAnsi="Times New Roman" w:cs="Times New Roman"/>
          <w:sz w:val="28"/>
          <w:szCs w:val="28"/>
        </w:rPr>
        <w:t>l’article 60</w:t>
      </w:r>
      <w:r w:rsidR="00490CB5" w:rsidRPr="006333CC">
        <w:rPr>
          <w:rFonts w:ascii="Times New Roman" w:hAnsi="Times New Roman" w:cs="Times New Roman"/>
          <w:sz w:val="28"/>
          <w:szCs w:val="28"/>
        </w:rPr>
        <w:t xml:space="preserve"> </w:t>
      </w:r>
      <w:r w:rsidRPr="006333CC">
        <w:rPr>
          <w:rFonts w:ascii="Times New Roman" w:hAnsi="Times New Roman" w:cs="Times New Roman"/>
          <w:sz w:val="28"/>
          <w:szCs w:val="28"/>
        </w:rPr>
        <w:t>de la LORF</w:t>
      </w:r>
      <w:r w:rsidRPr="006333CC">
        <w:rPr>
          <w:rFonts w:ascii="Times New Roman" w:hAnsi="Times New Roman" w:cs="Times New Roman"/>
          <w:b/>
          <w:bCs/>
          <w:sz w:val="28"/>
          <w:szCs w:val="28"/>
        </w:rPr>
        <w:t xml:space="preserve">. Le CNT recommande au gouvernement l’apurement du passif en la </w:t>
      </w:r>
      <w:r w:rsidR="00C632CB" w:rsidRPr="006333CC">
        <w:rPr>
          <w:rFonts w:ascii="Times New Roman" w:hAnsi="Times New Roman" w:cs="Times New Roman"/>
          <w:b/>
          <w:bCs/>
          <w:sz w:val="28"/>
          <w:szCs w:val="28"/>
        </w:rPr>
        <w:t>matière dans</w:t>
      </w:r>
      <w:r w:rsidRPr="006333CC">
        <w:rPr>
          <w:rFonts w:ascii="Times New Roman" w:hAnsi="Times New Roman" w:cs="Times New Roman"/>
          <w:b/>
          <w:bCs/>
          <w:sz w:val="28"/>
          <w:szCs w:val="28"/>
        </w:rPr>
        <w:t xml:space="preserve"> les meilleurs délais de ces lois de règlement</w:t>
      </w:r>
      <w:r w:rsidRPr="006333CC">
        <w:rPr>
          <w:rFonts w:ascii="Times New Roman" w:hAnsi="Times New Roman" w:cs="Times New Roman"/>
          <w:sz w:val="28"/>
          <w:szCs w:val="28"/>
        </w:rPr>
        <w:t xml:space="preserve">. </w:t>
      </w:r>
    </w:p>
    <w:p w14:paraId="6D0E2B45" w14:textId="77777777" w:rsidR="00C632CB" w:rsidRPr="006333CC" w:rsidRDefault="00C632CB" w:rsidP="00C632CB">
      <w:pPr>
        <w:pStyle w:val="Paragraphedeliste"/>
        <w:rPr>
          <w:rFonts w:ascii="Times New Roman" w:hAnsi="Times New Roman" w:cs="Times New Roman"/>
          <w:sz w:val="28"/>
          <w:szCs w:val="28"/>
        </w:rPr>
      </w:pPr>
    </w:p>
    <w:p w14:paraId="1A9AF204" w14:textId="77777777" w:rsidR="00583385" w:rsidRPr="006333CC" w:rsidRDefault="00583385" w:rsidP="00E858A7">
      <w:pPr>
        <w:pStyle w:val="Paragraphedeliste"/>
        <w:numPr>
          <w:ilvl w:val="0"/>
          <w:numId w:val="5"/>
        </w:numPr>
        <w:spacing w:after="160" w:line="259" w:lineRule="auto"/>
        <w:jc w:val="both"/>
        <w:rPr>
          <w:rFonts w:ascii="Times New Roman" w:hAnsi="Times New Roman" w:cs="Times New Roman"/>
          <w:sz w:val="28"/>
          <w:szCs w:val="28"/>
        </w:rPr>
      </w:pPr>
      <w:r w:rsidRPr="006333CC">
        <w:rPr>
          <w:rFonts w:ascii="Times New Roman" w:hAnsi="Times New Roman" w:cs="Times New Roman"/>
          <w:sz w:val="28"/>
          <w:szCs w:val="28"/>
        </w:rPr>
        <w:t xml:space="preserve">La mise à la retraite des magistrats en janvier 2024 pourrait impacter négativement le fonctionnement de la Cour Suprême. </w:t>
      </w:r>
      <w:r w:rsidRPr="006333CC">
        <w:rPr>
          <w:rFonts w:ascii="Times New Roman" w:hAnsi="Times New Roman" w:cs="Times New Roman"/>
          <w:b/>
          <w:bCs/>
          <w:sz w:val="28"/>
          <w:szCs w:val="28"/>
        </w:rPr>
        <w:t>Le CNT invite le Gouvernement à envisager la mise sous contrat les magistrats à la retraite et la formation des jeunes magistrats pour assurer la relève</w:t>
      </w:r>
      <w:r w:rsidRPr="006333CC">
        <w:rPr>
          <w:rFonts w:ascii="Times New Roman" w:hAnsi="Times New Roman" w:cs="Times New Roman"/>
          <w:sz w:val="28"/>
          <w:szCs w:val="28"/>
        </w:rPr>
        <w:t>.</w:t>
      </w:r>
    </w:p>
    <w:p w14:paraId="52A3CA55" w14:textId="77777777" w:rsidR="00C632CB" w:rsidRPr="006333CC" w:rsidRDefault="00C632CB" w:rsidP="00C632CB">
      <w:pPr>
        <w:pStyle w:val="Paragraphedeliste"/>
        <w:rPr>
          <w:rFonts w:ascii="Times New Roman" w:hAnsi="Times New Roman" w:cs="Times New Roman"/>
          <w:sz w:val="28"/>
          <w:szCs w:val="28"/>
        </w:rPr>
      </w:pPr>
    </w:p>
    <w:p w14:paraId="1F9A0D2B" w14:textId="06BCDA6A" w:rsidR="00011A74" w:rsidRPr="006333CC" w:rsidRDefault="00583385" w:rsidP="00E858A7">
      <w:pPr>
        <w:pStyle w:val="Paragraphedeliste"/>
        <w:numPr>
          <w:ilvl w:val="0"/>
          <w:numId w:val="5"/>
        </w:numPr>
        <w:spacing w:after="160" w:line="259" w:lineRule="auto"/>
        <w:jc w:val="both"/>
        <w:rPr>
          <w:rFonts w:ascii="Times New Roman" w:hAnsi="Times New Roman" w:cs="Times New Roman"/>
          <w:b/>
          <w:bCs/>
          <w:sz w:val="28"/>
          <w:szCs w:val="28"/>
        </w:rPr>
      </w:pPr>
      <w:r w:rsidRPr="006333CC">
        <w:rPr>
          <w:rFonts w:ascii="Times New Roman" w:hAnsi="Times New Roman" w:cs="Times New Roman"/>
          <w:sz w:val="28"/>
          <w:szCs w:val="28"/>
        </w:rPr>
        <w:lastRenderedPageBreak/>
        <w:t xml:space="preserve">Les montants à recouvrer à la suite des sentences prononcées par la CRIEF ne sont pas à date versés dans le compte unique du trésor. </w:t>
      </w:r>
      <w:r w:rsidRPr="006333CC">
        <w:rPr>
          <w:rFonts w:ascii="Times New Roman" w:hAnsi="Times New Roman" w:cs="Times New Roman"/>
          <w:b/>
          <w:bCs/>
          <w:sz w:val="28"/>
          <w:szCs w:val="28"/>
        </w:rPr>
        <w:t xml:space="preserve">Le CNT invite le Gouvernement à entamer un processus de création d’un compte de </w:t>
      </w:r>
      <w:r w:rsidR="004C1F70" w:rsidRPr="006333CC">
        <w:rPr>
          <w:rFonts w:ascii="Times New Roman" w:hAnsi="Times New Roman" w:cs="Times New Roman"/>
          <w:b/>
          <w:bCs/>
          <w:sz w:val="28"/>
          <w:szCs w:val="28"/>
        </w:rPr>
        <w:t>consignation et de dépôt adapté pour ces catégories de recettes et autres</w:t>
      </w:r>
      <w:r w:rsidRPr="006333CC">
        <w:rPr>
          <w:rFonts w:ascii="Times New Roman" w:hAnsi="Times New Roman" w:cs="Times New Roman"/>
          <w:b/>
          <w:bCs/>
          <w:sz w:val="28"/>
          <w:szCs w:val="28"/>
        </w:rPr>
        <w:t xml:space="preserve">.  </w:t>
      </w:r>
    </w:p>
    <w:p w14:paraId="50B782D5" w14:textId="77777777" w:rsidR="00004829" w:rsidRPr="006333CC" w:rsidRDefault="00004829" w:rsidP="00004829">
      <w:pPr>
        <w:pStyle w:val="Paragraphedeliste"/>
        <w:rPr>
          <w:rFonts w:ascii="Times New Roman" w:hAnsi="Times New Roman" w:cs="Times New Roman"/>
          <w:sz w:val="28"/>
          <w:szCs w:val="28"/>
        </w:rPr>
      </w:pPr>
    </w:p>
    <w:p w14:paraId="6EC1399A" w14:textId="77777777" w:rsidR="00004829" w:rsidRPr="006333CC" w:rsidRDefault="00004829" w:rsidP="00E858A7">
      <w:pPr>
        <w:pStyle w:val="Paragraphedeliste"/>
        <w:numPr>
          <w:ilvl w:val="0"/>
          <w:numId w:val="5"/>
        </w:numPr>
        <w:rPr>
          <w:rFonts w:ascii="Times New Roman" w:hAnsi="Times New Roman" w:cs="Times New Roman"/>
          <w:sz w:val="28"/>
          <w:szCs w:val="28"/>
        </w:rPr>
      </w:pPr>
      <w:r w:rsidRPr="006333CC">
        <w:rPr>
          <w:rFonts w:ascii="Times New Roman" w:hAnsi="Times New Roman" w:cs="Times New Roman"/>
          <w:sz w:val="28"/>
          <w:szCs w:val="28"/>
        </w:rPr>
        <w:t>Le CNT constate le manque de décision pour la séparation de la fonction administrative à la responsabilité religieuse dans les services déconcentrés du département en charge des affaires religieuses. </w:t>
      </w:r>
    </w:p>
    <w:p w14:paraId="05CBA87C" w14:textId="77777777" w:rsidR="00004829" w:rsidRPr="006333CC" w:rsidRDefault="00004829" w:rsidP="00A9745C">
      <w:pPr>
        <w:pStyle w:val="Paragraphedeliste"/>
        <w:ind w:left="360"/>
        <w:jc w:val="both"/>
        <w:rPr>
          <w:rFonts w:ascii="Times New Roman" w:hAnsi="Times New Roman" w:cs="Times New Roman"/>
          <w:b/>
          <w:bCs/>
          <w:sz w:val="28"/>
          <w:szCs w:val="28"/>
        </w:rPr>
      </w:pPr>
      <w:r w:rsidRPr="006333CC">
        <w:rPr>
          <w:rFonts w:ascii="Times New Roman" w:hAnsi="Times New Roman" w:cs="Times New Roman"/>
          <w:sz w:val="28"/>
          <w:szCs w:val="28"/>
        </w:rPr>
        <w:t xml:space="preserve">A titre d’exemple : les premiers imams dans certaines localités sont des inspecteurs régionaux ou des directeurs préfectoraux du SGAR. </w:t>
      </w:r>
      <w:r w:rsidRPr="006333CC">
        <w:rPr>
          <w:rFonts w:ascii="Times New Roman" w:hAnsi="Times New Roman" w:cs="Times New Roman"/>
          <w:b/>
          <w:bCs/>
          <w:sz w:val="28"/>
          <w:szCs w:val="28"/>
        </w:rPr>
        <w:t>Le CNT recommande la séparation de la fonction administrative et la responsabilité religieuse, exercés par certains imams au niveau régional, préfectoral et communal.</w:t>
      </w:r>
    </w:p>
    <w:p w14:paraId="4146B5C1" w14:textId="77777777" w:rsidR="00004829" w:rsidRPr="006333CC" w:rsidRDefault="00004829" w:rsidP="00004829">
      <w:pPr>
        <w:pStyle w:val="Paragraphedeliste"/>
        <w:spacing w:after="160" w:line="259" w:lineRule="auto"/>
        <w:ind w:left="360"/>
        <w:jc w:val="both"/>
        <w:rPr>
          <w:rFonts w:ascii="Times New Roman" w:hAnsi="Times New Roman" w:cs="Times New Roman"/>
          <w:b/>
          <w:bCs/>
          <w:sz w:val="28"/>
          <w:szCs w:val="28"/>
        </w:rPr>
      </w:pPr>
    </w:p>
    <w:p w14:paraId="350095D2" w14:textId="4356088A" w:rsidR="007D3D0F" w:rsidRPr="006333CC" w:rsidRDefault="007D3D0F" w:rsidP="00A9745C">
      <w:pPr>
        <w:pStyle w:val="Paragraphedeliste"/>
        <w:numPr>
          <w:ilvl w:val="0"/>
          <w:numId w:val="5"/>
        </w:numPr>
        <w:jc w:val="both"/>
        <w:rPr>
          <w:rFonts w:ascii="Times New Roman" w:eastAsia="Times New Roman" w:hAnsi="Times New Roman" w:cs="Times New Roman"/>
          <w:sz w:val="28"/>
          <w:szCs w:val="28"/>
          <w:lang/>
        </w:rPr>
      </w:pPr>
      <w:r w:rsidRPr="006333CC">
        <w:rPr>
          <w:rFonts w:ascii="Times New Roman" w:eastAsia="Times New Roman" w:hAnsi="Times New Roman" w:cs="Times New Roman"/>
          <w:sz w:val="28"/>
          <w:szCs w:val="28"/>
          <w:lang/>
        </w:rPr>
        <w:t xml:space="preserve">Le CNT constate une diminution de ligne dédiée à l’organisation du pèlerinage Musulman de  29 Mds et de  2.9 Mds pour le celui  Chrétien ce qui ne favorise pas une meilleure participation et gestion en faveur des pèlerins aux lieux saints. </w:t>
      </w:r>
      <w:r w:rsidRPr="006333CC">
        <w:rPr>
          <w:rFonts w:ascii="Times New Roman" w:eastAsia="Times New Roman" w:hAnsi="Times New Roman" w:cs="Times New Roman"/>
          <w:b/>
          <w:bCs/>
          <w:sz w:val="28"/>
          <w:szCs w:val="28"/>
          <w:lang/>
        </w:rPr>
        <w:t>Il recommande de revoir conséquemment cette dotation dans le futur PLFR 2024 ou à prélever dans les réserves pour les cas d’extrême urgence.</w:t>
      </w:r>
    </w:p>
    <w:p w14:paraId="042EB176" w14:textId="77777777" w:rsidR="007D3D0F" w:rsidRPr="006333CC" w:rsidRDefault="007D3D0F" w:rsidP="007D3D0F">
      <w:pPr>
        <w:pStyle w:val="Paragraphedeliste"/>
        <w:ind w:left="360"/>
        <w:rPr>
          <w:rFonts w:ascii="Times New Roman" w:eastAsia="Times New Roman" w:hAnsi="Times New Roman" w:cs="Times New Roman"/>
          <w:sz w:val="28"/>
          <w:szCs w:val="28"/>
          <w:lang/>
        </w:rPr>
      </w:pPr>
    </w:p>
    <w:p w14:paraId="05045F44" w14:textId="7A209E97" w:rsidR="007D3D0F" w:rsidRPr="006333CC" w:rsidRDefault="007D3D0F" w:rsidP="00C0546E">
      <w:pPr>
        <w:pStyle w:val="Paragraphedeliste"/>
        <w:numPr>
          <w:ilvl w:val="0"/>
          <w:numId w:val="5"/>
        </w:numPr>
        <w:jc w:val="both"/>
        <w:rPr>
          <w:rFonts w:ascii="Times New Roman" w:eastAsia="Times New Roman" w:hAnsi="Times New Roman" w:cs="Times New Roman"/>
          <w:sz w:val="28"/>
          <w:szCs w:val="28"/>
          <w:lang/>
        </w:rPr>
      </w:pPr>
      <w:r w:rsidRPr="006333CC">
        <w:rPr>
          <w:rFonts w:ascii="Times New Roman" w:eastAsia="Times New Roman" w:hAnsi="Times New Roman" w:cs="Times New Roman"/>
          <w:sz w:val="28"/>
          <w:szCs w:val="28"/>
          <w:lang/>
        </w:rPr>
        <w:t xml:space="preserve">En raison de l’importance du Fonds de Développement Social et de l Indigence (FDSI) pour la prise en charge sanitaire et nutritionnelle de nos compatriotes indigents, </w:t>
      </w:r>
      <w:r w:rsidRPr="006333CC">
        <w:rPr>
          <w:rFonts w:ascii="Times New Roman" w:eastAsia="Times New Roman" w:hAnsi="Times New Roman" w:cs="Times New Roman"/>
          <w:b/>
          <w:bCs/>
          <w:sz w:val="28"/>
          <w:szCs w:val="28"/>
          <w:lang/>
        </w:rPr>
        <w:t>le CNT propose au gouvernement de réhausseur le budget de cette organisation humanitaire</w:t>
      </w:r>
      <w:r w:rsidRPr="006333CC">
        <w:rPr>
          <w:rFonts w:ascii="Times New Roman" w:eastAsia="Times New Roman" w:hAnsi="Times New Roman" w:cs="Times New Roman"/>
          <w:sz w:val="28"/>
          <w:szCs w:val="28"/>
          <w:lang/>
        </w:rPr>
        <w:t>.</w:t>
      </w:r>
    </w:p>
    <w:p w14:paraId="18AD58DB" w14:textId="77777777" w:rsidR="007D3D0F" w:rsidRPr="006333CC" w:rsidRDefault="007D3D0F" w:rsidP="007D3D0F">
      <w:pPr>
        <w:rPr>
          <w:rFonts w:ascii="Times New Roman" w:eastAsia="Times New Roman" w:hAnsi="Times New Roman" w:cs="Times New Roman"/>
          <w:sz w:val="28"/>
          <w:szCs w:val="28"/>
          <w:lang/>
        </w:rPr>
      </w:pPr>
    </w:p>
    <w:p w14:paraId="19EBC977" w14:textId="77777777" w:rsidR="007D3D0F" w:rsidRPr="006333CC" w:rsidRDefault="007D3D0F" w:rsidP="007D3D0F">
      <w:pPr>
        <w:rPr>
          <w:rFonts w:ascii="Times New Roman" w:eastAsia="Times New Roman" w:hAnsi="Times New Roman" w:cs="Times New Roman"/>
          <w:sz w:val="28"/>
          <w:szCs w:val="28"/>
          <w:lang/>
        </w:rPr>
      </w:pPr>
    </w:p>
    <w:p w14:paraId="4CB0BE9E" w14:textId="07672BFB" w:rsidR="007D3D0F" w:rsidRPr="006333CC" w:rsidRDefault="007D3D0F" w:rsidP="00C0546E">
      <w:pPr>
        <w:pStyle w:val="Paragraphedeliste"/>
        <w:numPr>
          <w:ilvl w:val="0"/>
          <w:numId w:val="5"/>
        </w:numPr>
        <w:jc w:val="both"/>
        <w:rPr>
          <w:rFonts w:ascii="Times New Roman" w:eastAsia="Times New Roman" w:hAnsi="Times New Roman" w:cs="Times New Roman"/>
          <w:b/>
          <w:bCs/>
          <w:sz w:val="28"/>
          <w:szCs w:val="28"/>
          <w:lang/>
        </w:rPr>
      </w:pPr>
      <w:r w:rsidRPr="006333CC">
        <w:rPr>
          <w:rFonts w:ascii="Times New Roman" w:eastAsia="Times New Roman" w:hAnsi="Times New Roman" w:cs="Times New Roman"/>
          <w:sz w:val="28"/>
          <w:szCs w:val="28"/>
          <w:lang/>
        </w:rPr>
        <w:t xml:space="preserve">Compte </w:t>
      </w:r>
      <w:r w:rsidRPr="006333CC">
        <w:rPr>
          <w:rFonts w:ascii="Times New Roman" w:eastAsia="Times New Roman" w:hAnsi="Times New Roman" w:cs="Times New Roman"/>
          <w:sz w:val="28"/>
          <w:szCs w:val="28"/>
          <w:lang/>
        </w:rPr>
        <w:t xml:space="preserve">tenu de l’importance de l’éducation dans notre pays surtout pour des jeunes, </w:t>
      </w:r>
      <w:r w:rsidRPr="006333CC">
        <w:rPr>
          <w:rFonts w:ascii="Times New Roman" w:eastAsia="Times New Roman" w:hAnsi="Times New Roman" w:cs="Times New Roman"/>
          <w:b/>
          <w:bCs/>
          <w:sz w:val="28"/>
          <w:szCs w:val="28"/>
          <w:lang/>
        </w:rPr>
        <w:t>le CNT propose que le Service national de l’éducation civique soit érigé en une Direction générale dotée des moyens financiers suffisants pour relever le défi de l’incivisme.</w:t>
      </w:r>
    </w:p>
    <w:p w14:paraId="561FD7B4" w14:textId="77777777" w:rsidR="00C0546E" w:rsidRPr="006333CC" w:rsidRDefault="00C0546E" w:rsidP="00C0546E">
      <w:pPr>
        <w:pStyle w:val="Paragraphedeliste"/>
        <w:ind w:left="360"/>
        <w:rPr>
          <w:rFonts w:ascii="Times New Roman" w:eastAsia="Times New Roman" w:hAnsi="Times New Roman" w:cs="Times New Roman"/>
          <w:b/>
          <w:bCs/>
          <w:sz w:val="28"/>
          <w:szCs w:val="28"/>
          <w:lang/>
        </w:rPr>
      </w:pPr>
    </w:p>
    <w:p w14:paraId="3304459F" w14:textId="432D56A6" w:rsidR="00C0546E" w:rsidRPr="006333CC" w:rsidRDefault="00C0546E" w:rsidP="00C0546E">
      <w:pPr>
        <w:pStyle w:val="Paragraphedeliste"/>
        <w:numPr>
          <w:ilvl w:val="0"/>
          <w:numId w:val="5"/>
        </w:numPr>
        <w:jc w:val="both"/>
        <w:rPr>
          <w:rFonts w:ascii="Times New Roman" w:eastAsia="Times New Roman" w:hAnsi="Times New Roman" w:cs="Times New Roman"/>
          <w:b/>
          <w:bCs/>
          <w:sz w:val="28"/>
          <w:szCs w:val="28"/>
          <w:lang/>
        </w:rPr>
      </w:pPr>
      <w:r w:rsidRPr="006333CC">
        <w:rPr>
          <w:rFonts w:ascii="Times New Roman" w:eastAsia="Times New Roman" w:hAnsi="Times New Roman" w:cs="Times New Roman"/>
          <w:sz w:val="28"/>
          <w:szCs w:val="28"/>
          <w:lang/>
        </w:rPr>
        <w:t>Pour permettre à la HAC de veiller au respect strict de l’éthique et de la déontologie du métier de journalisme ,</w:t>
      </w:r>
      <w:r w:rsidRPr="006333CC">
        <w:rPr>
          <w:rFonts w:ascii="Times New Roman" w:eastAsia="Times New Roman" w:hAnsi="Times New Roman" w:cs="Times New Roman"/>
          <w:b/>
          <w:bCs/>
          <w:sz w:val="28"/>
          <w:szCs w:val="28"/>
          <w:lang/>
        </w:rPr>
        <w:t xml:space="preserve"> le CNT invite le Gouvernement à la doter de moyens suffisants pour rendre ses services de monitoring plus modernes.</w:t>
      </w:r>
    </w:p>
    <w:p w14:paraId="0EF61183" w14:textId="77777777" w:rsidR="007D3D0F" w:rsidRPr="006333CC" w:rsidRDefault="007D3D0F" w:rsidP="00004829">
      <w:pPr>
        <w:pStyle w:val="Paragraphedeliste"/>
        <w:spacing w:after="160" w:line="259" w:lineRule="auto"/>
        <w:ind w:left="360"/>
        <w:jc w:val="both"/>
        <w:rPr>
          <w:rFonts w:ascii="Times New Roman" w:hAnsi="Times New Roman" w:cs="Times New Roman"/>
          <w:b/>
          <w:bCs/>
          <w:sz w:val="28"/>
          <w:szCs w:val="28"/>
          <w:lang/>
        </w:rPr>
      </w:pPr>
    </w:p>
    <w:p w14:paraId="17C06AED" w14:textId="061F7838" w:rsidR="00CD2BCC" w:rsidRPr="006333CC" w:rsidRDefault="0061303D" w:rsidP="0061303D">
      <w:pPr>
        <w:jc w:val="both"/>
        <w:rPr>
          <w:rFonts w:ascii="Times New Roman" w:hAnsi="Times New Roman" w:cs="Times New Roman"/>
          <w:b/>
          <w:bCs/>
          <w:color w:val="000000" w:themeColor="text1"/>
          <w:sz w:val="28"/>
          <w:szCs w:val="28"/>
        </w:rPr>
      </w:pPr>
      <w:r w:rsidRPr="006333CC">
        <w:rPr>
          <w:rFonts w:ascii="Times New Roman" w:hAnsi="Times New Roman" w:cs="Times New Roman"/>
          <w:b/>
          <w:bCs/>
          <w:color w:val="000000" w:themeColor="text1"/>
          <w:sz w:val="28"/>
          <w:szCs w:val="28"/>
        </w:rPr>
        <w:t>Honorables Conseillers Nationaux,</w:t>
      </w:r>
    </w:p>
    <w:p w14:paraId="7EF8A092" w14:textId="77777777" w:rsidR="000E143B" w:rsidRPr="006333CC" w:rsidRDefault="000E143B" w:rsidP="0061303D">
      <w:pPr>
        <w:jc w:val="both"/>
        <w:rPr>
          <w:rFonts w:ascii="Times New Roman" w:hAnsi="Times New Roman" w:cs="Times New Roman"/>
          <w:color w:val="000000" w:themeColor="text1"/>
          <w:sz w:val="28"/>
          <w:szCs w:val="28"/>
        </w:rPr>
      </w:pPr>
    </w:p>
    <w:p w14:paraId="31F082AE" w14:textId="74FA8F5A" w:rsidR="00CF18C1" w:rsidRPr="006333CC" w:rsidRDefault="00EF5E33" w:rsidP="00EF5E33">
      <w:pPr>
        <w:jc w:val="both"/>
        <w:rPr>
          <w:rFonts w:ascii="Times New Roman" w:hAnsi="Times New Roman" w:cs="Times New Roman"/>
          <w:sz w:val="28"/>
          <w:szCs w:val="28"/>
        </w:rPr>
      </w:pPr>
      <w:r w:rsidRPr="006333CC">
        <w:rPr>
          <w:rFonts w:ascii="Times New Roman" w:hAnsi="Times New Roman" w:cs="Times New Roman"/>
          <w:color w:val="000000"/>
          <w:sz w:val="28"/>
          <w:szCs w:val="28"/>
        </w:rPr>
        <w:t> </w:t>
      </w:r>
      <w:r w:rsidRPr="006333CC">
        <w:rPr>
          <w:rFonts w:ascii="Times New Roman" w:hAnsi="Times New Roman" w:cs="Times New Roman"/>
          <w:sz w:val="28"/>
          <w:szCs w:val="28"/>
        </w:rPr>
        <w:t>L’analyse globa</w:t>
      </w:r>
      <w:r w:rsidR="0013046D" w:rsidRPr="006333CC">
        <w:rPr>
          <w:rFonts w:ascii="Times New Roman" w:hAnsi="Times New Roman" w:cs="Times New Roman"/>
          <w:sz w:val="28"/>
          <w:szCs w:val="28"/>
        </w:rPr>
        <w:t xml:space="preserve">le de ce budget montre </w:t>
      </w:r>
      <w:r w:rsidR="0043415C" w:rsidRPr="006333CC">
        <w:rPr>
          <w:rFonts w:ascii="Times New Roman" w:hAnsi="Times New Roman" w:cs="Times New Roman"/>
          <w:sz w:val="28"/>
          <w:szCs w:val="28"/>
        </w:rPr>
        <w:t>qu’il est impacté dans ses deux volets par l’incendie du dépôt d’hydrocarbures de Kaloum</w:t>
      </w:r>
      <w:r w:rsidR="00CF18C1" w:rsidRPr="006333CC">
        <w:rPr>
          <w:rFonts w:ascii="Times New Roman" w:hAnsi="Times New Roman" w:cs="Times New Roman"/>
          <w:sz w:val="28"/>
          <w:szCs w:val="28"/>
        </w:rPr>
        <w:t>. Cet impact est</w:t>
      </w:r>
      <w:r w:rsidR="0043415C" w:rsidRPr="006333CC">
        <w:rPr>
          <w:rFonts w:ascii="Times New Roman" w:hAnsi="Times New Roman" w:cs="Times New Roman"/>
          <w:sz w:val="28"/>
          <w:szCs w:val="28"/>
        </w:rPr>
        <w:t xml:space="preserve"> </w:t>
      </w:r>
      <w:r w:rsidR="00114773" w:rsidRPr="006333CC">
        <w:rPr>
          <w:rFonts w:ascii="Times New Roman" w:hAnsi="Times New Roman" w:cs="Times New Roman"/>
          <w:sz w:val="28"/>
          <w:szCs w:val="28"/>
        </w:rPr>
        <w:t>atténué principalement par</w:t>
      </w:r>
      <w:r w:rsidR="00CF18C1" w:rsidRPr="006333CC">
        <w:rPr>
          <w:rFonts w:ascii="Times New Roman" w:hAnsi="Times New Roman" w:cs="Times New Roman"/>
          <w:sz w:val="28"/>
          <w:szCs w:val="28"/>
        </w:rPr>
        <w:t> :</w:t>
      </w:r>
    </w:p>
    <w:p w14:paraId="551B9791" w14:textId="6B135180" w:rsidR="00EF5E33" w:rsidRPr="006333CC" w:rsidRDefault="00B635A4" w:rsidP="00E858A7">
      <w:pPr>
        <w:pStyle w:val="Paragraphedeliste"/>
        <w:numPr>
          <w:ilvl w:val="0"/>
          <w:numId w:val="12"/>
        </w:numPr>
        <w:jc w:val="both"/>
        <w:rPr>
          <w:rFonts w:ascii="Times New Roman" w:hAnsi="Times New Roman" w:cs="Times New Roman"/>
          <w:sz w:val="28"/>
          <w:szCs w:val="28"/>
        </w:rPr>
      </w:pPr>
      <w:r w:rsidRPr="006333CC">
        <w:rPr>
          <w:rFonts w:ascii="Times New Roman" w:hAnsi="Times New Roman" w:cs="Times New Roman"/>
          <w:sz w:val="28"/>
          <w:szCs w:val="28"/>
        </w:rPr>
        <w:t xml:space="preserve">les </w:t>
      </w:r>
      <w:r w:rsidR="00114773" w:rsidRPr="006333CC">
        <w:rPr>
          <w:rFonts w:ascii="Times New Roman" w:hAnsi="Times New Roman" w:cs="Times New Roman"/>
          <w:sz w:val="28"/>
          <w:szCs w:val="28"/>
        </w:rPr>
        <w:t>nouvelles mesures fiscales</w:t>
      </w:r>
      <w:r w:rsidR="00CF18C1" w:rsidRPr="006333CC">
        <w:rPr>
          <w:rFonts w:ascii="Times New Roman" w:hAnsi="Times New Roman" w:cs="Times New Roman"/>
          <w:sz w:val="28"/>
          <w:szCs w:val="28"/>
        </w:rPr>
        <w:t> ;</w:t>
      </w:r>
    </w:p>
    <w:p w14:paraId="765943C1" w14:textId="2F5CAE0A" w:rsidR="00EF5E33" w:rsidRPr="006333CC" w:rsidRDefault="00EF5E33" w:rsidP="00E858A7">
      <w:pPr>
        <w:pStyle w:val="Paragraphedeliste"/>
        <w:numPr>
          <w:ilvl w:val="0"/>
          <w:numId w:val="12"/>
        </w:numPr>
        <w:jc w:val="both"/>
        <w:rPr>
          <w:rFonts w:ascii="Times New Roman" w:hAnsi="Times New Roman" w:cs="Times New Roman"/>
          <w:sz w:val="28"/>
          <w:szCs w:val="28"/>
        </w:rPr>
      </w:pPr>
      <w:r w:rsidRPr="006333CC">
        <w:rPr>
          <w:rFonts w:ascii="Times New Roman" w:hAnsi="Times New Roman" w:cs="Times New Roman"/>
          <w:sz w:val="28"/>
          <w:szCs w:val="28"/>
        </w:rPr>
        <w:t>la poursuite des reformes des entreprises publiques conformément à la Loi 056 ;</w:t>
      </w:r>
    </w:p>
    <w:p w14:paraId="02278955" w14:textId="1D7DC0B8" w:rsidR="00EF5E33" w:rsidRPr="006333CC" w:rsidRDefault="00EF5E33" w:rsidP="00E858A7">
      <w:pPr>
        <w:pStyle w:val="Paragraphedeliste"/>
        <w:numPr>
          <w:ilvl w:val="0"/>
          <w:numId w:val="12"/>
        </w:numPr>
        <w:jc w:val="both"/>
        <w:rPr>
          <w:rFonts w:ascii="Times New Roman" w:hAnsi="Times New Roman" w:cs="Times New Roman"/>
          <w:sz w:val="28"/>
          <w:szCs w:val="28"/>
        </w:rPr>
      </w:pPr>
      <w:r w:rsidRPr="006333CC">
        <w:rPr>
          <w:rFonts w:ascii="Times New Roman" w:hAnsi="Times New Roman" w:cs="Times New Roman"/>
          <w:sz w:val="28"/>
          <w:szCs w:val="28"/>
        </w:rPr>
        <w:t>la digitalisation du processus de recouvrement des impôts, des taxes et des redevances ;</w:t>
      </w:r>
    </w:p>
    <w:p w14:paraId="41CC2DF0" w14:textId="0F084D5D" w:rsidR="00EF5E33" w:rsidRPr="006333CC" w:rsidRDefault="00EF5E33" w:rsidP="00E858A7">
      <w:pPr>
        <w:pStyle w:val="Paragraphedeliste"/>
        <w:numPr>
          <w:ilvl w:val="0"/>
          <w:numId w:val="12"/>
        </w:numPr>
        <w:jc w:val="both"/>
        <w:rPr>
          <w:rFonts w:ascii="Times New Roman" w:hAnsi="Times New Roman" w:cs="Times New Roman"/>
          <w:sz w:val="28"/>
          <w:szCs w:val="28"/>
        </w:rPr>
      </w:pPr>
      <w:r w:rsidRPr="006333CC">
        <w:rPr>
          <w:rFonts w:ascii="Times New Roman" w:hAnsi="Times New Roman" w:cs="Times New Roman"/>
          <w:sz w:val="28"/>
          <w:szCs w:val="28"/>
        </w:rPr>
        <w:t>la tendance attendue dans le secteur des télécommunications ;</w:t>
      </w:r>
    </w:p>
    <w:p w14:paraId="510B2289" w14:textId="24DF4576" w:rsidR="00EF5E33" w:rsidRPr="006333CC" w:rsidRDefault="00EF5E33" w:rsidP="00E858A7">
      <w:pPr>
        <w:pStyle w:val="Paragraphedeliste"/>
        <w:numPr>
          <w:ilvl w:val="0"/>
          <w:numId w:val="12"/>
        </w:numPr>
        <w:jc w:val="both"/>
        <w:rPr>
          <w:rFonts w:ascii="Times New Roman" w:hAnsi="Times New Roman" w:cs="Times New Roman"/>
          <w:sz w:val="28"/>
          <w:szCs w:val="28"/>
        </w:rPr>
      </w:pPr>
      <w:r w:rsidRPr="006333CC">
        <w:rPr>
          <w:rFonts w:ascii="Times New Roman" w:hAnsi="Times New Roman" w:cs="Times New Roman"/>
          <w:sz w:val="28"/>
          <w:szCs w:val="28"/>
        </w:rPr>
        <w:t>l’augmentation des dépenses sociales notamment à l’endroit des couches les plus vulnérables ;</w:t>
      </w:r>
    </w:p>
    <w:p w14:paraId="0A5A8B2C" w14:textId="77777777" w:rsidR="00A9745C" w:rsidRPr="006333CC" w:rsidRDefault="00A9745C" w:rsidP="00A9745C">
      <w:pPr>
        <w:jc w:val="both"/>
        <w:rPr>
          <w:rFonts w:ascii="Times New Roman" w:hAnsi="Times New Roman" w:cs="Times New Roman"/>
          <w:sz w:val="28"/>
          <w:szCs w:val="28"/>
        </w:rPr>
      </w:pPr>
    </w:p>
    <w:p w14:paraId="3338C427" w14:textId="6A897166" w:rsidR="00EF5E33" w:rsidRPr="006333CC" w:rsidRDefault="00EF5E33" w:rsidP="00EF5E33">
      <w:pPr>
        <w:ind w:hanging="375"/>
        <w:jc w:val="both"/>
        <w:rPr>
          <w:rFonts w:ascii="Times New Roman" w:hAnsi="Times New Roman" w:cs="Times New Roman"/>
          <w:sz w:val="28"/>
          <w:szCs w:val="28"/>
        </w:rPr>
      </w:pPr>
      <w:r w:rsidRPr="006333CC">
        <w:rPr>
          <w:rFonts w:ascii="Times New Roman" w:hAnsi="Times New Roman" w:cs="Times New Roman"/>
          <w:sz w:val="28"/>
          <w:szCs w:val="28"/>
        </w:rPr>
        <w:t xml:space="preserve">      Par ailleurs, la commission du plan, des Affaires Financières et du contrôle Budgétaire exprime sa satisfaction quant à :</w:t>
      </w:r>
    </w:p>
    <w:p w14:paraId="6556DE94" w14:textId="77777777" w:rsidR="00004829" w:rsidRPr="006333CC" w:rsidRDefault="00004829" w:rsidP="00EF5E33">
      <w:pPr>
        <w:ind w:hanging="375"/>
        <w:jc w:val="both"/>
        <w:rPr>
          <w:rFonts w:ascii="Times New Roman" w:hAnsi="Times New Roman" w:cs="Times New Roman"/>
          <w:sz w:val="28"/>
          <w:szCs w:val="28"/>
        </w:rPr>
      </w:pPr>
    </w:p>
    <w:p w14:paraId="6646FADF" w14:textId="50A5B339" w:rsidR="00EF5E33" w:rsidRPr="006333CC" w:rsidRDefault="00EF5E33" w:rsidP="00E858A7">
      <w:pPr>
        <w:pStyle w:val="Paragraphedeliste"/>
        <w:numPr>
          <w:ilvl w:val="0"/>
          <w:numId w:val="13"/>
        </w:numPr>
        <w:jc w:val="both"/>
        <w:rPr>
          <w:rFonts w:ascii="Times New Roman" w:hAnsi="Times New Roman" w:cs="Times New Roman"/>
          <w:sz w:val="28"/>
          <w:szCs w:val="28"/>
        </w:rPr>
      </w:pPr>
      <w:r w:rsidRPr="006333CC">
        <w:rPr>
          <w:rFonts w:ascii="Times New Roman" w:hAnsi="Times New Roman" w:cs="Times New Roman"/>
          <w:sz w:val="28"/>
          <w:szCs w:val="28"/>
        </w:rPr>
        <w:t>l’effort déployé par les régies pour accroitre le niveau des recettes intérieures mobilisées, se tradui</w:t>
      </w:r>
      <w:r w:rsidR="00FD529B" w:rsidRPr="006333CC">
        <w:rPr>
          <w:rFonts w:ascii="Times New Roman" w:hAnsi="Times New Roman" w:cs="Times New Roman"/>
          <w:sz w:val="28"/>
          <w:szCs w:val="28"/>
        </w:rPr>
        <w:t>sant par une hausse d’environ 3,14</w:t>
      </w:r>
      <w:r w:rsidRPr="006333CC">
        <w:rPr>
          <w:rFonts w:ascii="Times New Roman" w:hAnsi="Times New Roman" w:cs="Times New Roman"/>
          <w:sz w:val="28"/>
          <w:szCs w:val="28"/>
        </w:rPr>
        <w:t xml:space="preserve">% </w:t>
      </w:r>
      <w:r w:rsidR="00FD529B" w:rsidRPr="006333CC">
        <w:rPr>
          <w:rFonts w:ascii="Times New Roman" w:hAnsi="Times New Roman" w:cs="Times New Roman"/>
          <w:sz w:val="28"/>
          <w:szCs w:val="28"/>
        </w:rPr>
        <w:t>par rapport au scenario de la LFR 2023</w:t>
      </w:r>
      <w:r w:rsidR="00004829" w:rsidRPr="006333CC">
        <w:rPr>
          <w:rFonts w:ascii="Times New Roman" w:hAnsi="Times New Roman" w:cs="Times New Roman"/>
          <w:sz w:val="28"/>
          <w:szCs w:val="28"/>
        </w:rPr>
        <w:t>,</w:t>
      </w:r>
      <w:r w:rsidRPr="006333CC">
        <w:rPr>
          <w:rFonts w:ascii="Times New Roman" w:hAnsi="Times New Roman" w:cs="Times New Roman"/>
          <w:sz w:val="28"/>
          <w:szCs w:val="28"/>
        </w:rPr>
        <w:t xml:space="preserve"> malgré les </w:t>
      </w:r>
      <w:r w:rsidR="00FD529B" w:rsidRPr="006333CC">
        <w:rPr>
          <w:rFonts w:ascii="Times New Roman" w:hAnsi="Times New Roman" w:cs="Times New Roman"/>
          <w:sz w:val="28"/>
          <w:szCs w:val="28"/>
        </w:rPr>
        <w:t>manques à gagner</w:t>
      </w:r>
      <w:r w:rsidR="00442E81" w:rsidRPr="006333CC">
        <w:rPr>
          <w:rFonts w:ascii="Times New Roman" w:hAnsi="Times New Roman" w:cs="Times New Roman"/>
          <w:sz w:val="28"/>
          <w:szCs w:val="28"/>
        </w:rPr>
        <w:t xml:space="preserve"> dus aux exonérations minières</w:t>
      </w:r>
      <w:r w:rsidRPr="006333CC">
        <w:rPr>
          <w:rFonts w:ascii="Times New Roman" w:hAnsi="Times New Roman" w:cs="Times New Roman"/>
          <w:sz w:val="28"/>
          <w:szCs w:val="28"/>
        </w:rPr>
        <w:t xml:space="preserve"> </w:t>
      </w:r>
      <w:r w:rsidR="00442E81" w:rsidRPr="006333CC">
        <w:rPr>
          <w:rFonts w:ascii="Times New Roman" w:hAnsi="Times New Roman" w:cs="Times New Roman"/>
          <w:sz w:val="28"/>
          <w:szCs w:val="28"/>
        </w:rPr>
        <w:t>relevées</w:t>
      </w:r>
      <w:r w:rsidRPr="006333CC">
        <w:rPr>
          <w:rFonts w:ascii="Times New Roman" w:hAnsi="Times New Roman" w:cs="Times New Roman"/>
          <w:sz w:val="28"/>
          <w:szCs w:val="28"/>
        </w:rPr>
        <w:t xml:space="preserve"> dans le rapport sur </w:t>
      </w:r>
      <w:r w:rsidR="00442E81" w:rsidRPr="006333CC">
        <w:rPr>
          <w:rFonts w:ascii="Times New Roman" w:hAnsi="Times New Roman" w:cs="Times New Roman"/>
          <w:sz w:val="28"/>
          <w:szCs w:val="28"/>
        </w:rPr>
        <w:t xml:space="preserve">le </w:t>
      </w:r>
      <w:r w:rsidRPr="006333CC">
        <w:rPr>
          <w:rFonts w:ascii="Times New Roman" w:hAnsi="Times New Roman" w:cs="Times New Roman"/>
          <w:sz w:val="28"/>
          <w:szCs w:val="28"/>
        </w:rPr>
        <w:t>volet recettes</w:t>
      </w:r>
      <w:r w:rsidR="00D05F9C" w:rsidRPr="006333CC">
        <w:rPr>
          <w:rFonts w:ascii="Times New Roman" w:hAnsi="Times New Roman" w:cs="Times New Roman"/>
          <w:sz w:val="28"/>
          <w:szCs w:val="28"/>
        </w:rPr>
        <w:t xml:space="preserve"> </w:t>
      </w:r>
      <w:r w:rsidRPr="006333CC">
        <w:rPr>
          <w:rFonts w:ascii="Times New Roman" w:hAnsi="Times New Roman" w:cs="Times New Roman"/>
          <w:sz w:val="28"/>
          <w:szCs w:val="28"/>
        </w:rPr>
        <w:t>;</w:t>
      </w:r>
    </w:p>
    <w:p w14:paraId="1537689A" w14:textId="77777777" w:rsidR="00EF5E33" w:rsidRPr="006333CC" w:rsidRDefault="00EF5E33" w:rsidP="00E858A7">
      <w:pPr>
        <w:pStyle w:val="Paragraphedeliste"/>
        <w:numPr>
          <w:ilvl w:val="0"/>
          <w:numId w:val="13"/>
        </w:numPr>
        <w:jc w:val="both"/>
        <w:rPr>
          <w:rFonts w:ascii="Times New Roman" w:hAnsi="Times New Roman" w:cs="Times New Roman"/>
          <w:sz w:val="28"/>
          <w:szCs w:val="28"/>
        </w:rPr>
      </w:pPr>
      <w:r w:rsidRPr="006333CC">
        <w:rPr>
          <w:rFonts w:ascii="Times New Roman" w:hAnsi="Times New Roman" w:cs="Times New Roman"/>
          <w:sz w:val="28"/>
          <w:szCs w:val="28"/>
        </w:rPr>
        <w:t>l’allocation de crédits budgétaires en faveur des services déconcentrés depuis peu, ainsi que les mesures prises cette année pour garantir leur exécution diligente à travers une régulation complète des crédits concernés ;</w:t>
      </w:r>
    </w:p>
    <w:p w14:paraId="28B29773" w14:textId="77777777" w:rsidR="00EF5E33" w:rsidRPr="006333CC" w:rsidRDefault="00EF5E33" w:rsidP="00E858A7">
      <w:pPr>
        <w:pStyle w:val="Paragraphedeliste"/>
        <w:numPr>
          <w:ilvl w:val="0"/>
          <w:numId w:val="13"/>
        </w:numPr>
        <w:jc w:val="both"/>
        <w:rPr>
          <w:rFonts w:ascii="Times New Roman" w:hAnsi="Times New Roman" w:cs="Times New Roman"/>
          <w:sz w:val="28"/>
          <w:szCs w:val="28"/>
        </w:rPr>
      </w:pPr>
      <w:r w:rsidRPr="006333CC">
        <w:rPr>
          <w:rFonts w:ascii="Times New Roman" w:hAnsi="Times New Roman" w:cs="Times New Roman"/>
          <w:sz w:val="28"/>
          <w:szCs w:val="28"/>
        </w:rPr>
        <w:t>la poursuite des efforts visant à maitriser la subvention allouée au secteur de l’énergie ;</w:t>
      </w:r>
    </w:p>
    <w:p w14:paraId="4EB24A71" w14:textId="77777777" w:rsidR="009B6376" w:rsidRPr="006333CC" w:rsidRDefault="00EF5E33" w:rsidP="00E858A7">
      <w:pPr>
        <w:pStyle w:val="Paragraphedeliste"/>
        <w:numPr>
          <w:ilvl w:val="0"/>
          <w:numId w:val="13"/>
        </w:numPr>
        <w:jc w:val="both"/>
        <w:rPr>
          <w:rFonts w:ascii="Times New Roman" w:hAnsi="Times New Roman" w:cs="Times New Roman"/>
          <w:sz w:val="28"/>
          <w:szCs w:val="28"/>
        </w:rPr>
      </w:pPr>
      <w:r w:rsidRPr="006333CC">
        <w:rPr>
          <w:rFonts w:ascii="Times New Roman" w:hAnsi="Times New Roman" w:cs="Times New Roman"/>
          <w:sz w:val="28"/>
          <w:szCs w:val="28"/>
        </w:rPr>
        <w:t xml:space="preserve">le respect des critères de convergence, en particulier </w:t>
      </w:r>
      <w:r w:rsidR="009B6376" w:rsidRPr="006333CC">
        <w:rPr>
          <w:rFonts w:ascii="Times New Roman" w:hAnsi="Times New Roman" w:cs="Times New Roman"/>
          <w:sz w:val="28"/>
          <w:szCs w:val="28"/>
        </w:rPr>
        <w:t>ceux</w:t>
      </w:r>
      <w:r w:rsidRPr="006333CC">
        <w:rPr>
          <w:rFonts w:ascii="Times New Roman" w:hAnsi="Times New Roman" w:cs="Times New Roman"/>
          <w:sz w:val="28"/>
          <w:szCs w:val="28"/>
        </w:rPr>
        <w:t xml:space="preserve"> qui limite</w:t>
      </w:r>
      <w:r w:rsidR="009B6376" w:rsidRPr="006333CC">
        <w:rPr>
          <w:rFonts w:ascii="Times New Roman" w:hAnsi="Times New Roman" w:cs="Times New Roman"/>
          <w:sz w:val="28"/>
          <w:szCs w:val="28"/>
        </w:rPr>
        <w:t>nt</w:t>
      </w:r>
      <w:r w:rsidRPr="006333CC">
        <w:rPr>
          <w:rFonts w:ascii="Times New Roman" w:hAnsi="Times New Roman" w:cs="Times New Roman"/>
          <w:sz w:val="28"/>
          <w:szCs w:val="28"/>
        </w:rPr>
        <w:t xml:space="preserve"> les dépenses de personnel à moins de 35% des recettes fiscales</w:t>
      </w:r>
      <w:r w:rsidR="009B6376" w:rsidRPr="006333CC">
        <w:rPr>
          <w:rFonts w:ascii="Times New Roman" w:hAnsi="Times New Roman" w:cs="Times New Roman"/>
          <w:sz w:val="28"/>
          <w:szCs w:val="28"/>
        </w:rPr>
        <w:t xml:space="preserve"> et l’encours de la dette à moins de 70% du PIB nominal.</w:t>
      </w:r>
      <w:r w:rsidRPr="006333CC">
        <w:rPr>
          <w:rFonts w:ascii="Times New Roman" w:hAnsi="Times New Roman" w:cs="Times New Roman"/>
          <w:sz w:val="28"/>
          <w:szCs w:val="28"/>
        </w:rPr>
        <w:t xml:space="preserve"> </w:t>
      </w:r>
    </w:p>
    <w:p w14:paraId="7D8F4C23" w14:textId="77777777" w:rsidR="009B6376" w:rsidRPr="006333CC" w:rsidRDefault="009B6376" w:rsidP="009B6376">
      <w:pPr>
        <w:pStyle w:val="Paragraphedeliste"/>
        <w:ind w:left="450"/>
        <w:jc w:val="both"/>
        <w:rPr>
          <w:rFonts w:ascii="Times New Roman" w:hAnsi="Times New Roman" w:cs="Times New Roman"/>
          <w:sz w:val="28"/>
          <w:szCs w:val="28"/>
        </w:rPr>
      </w:pPr>
    </w:p>
    <w:p w14:paraId="4677B670" w14:textId="4D103402" w:rsidR="00EF5E33" w:rsidRPr="006333CC" w:rsidRDefault="00EF5E33" w:rsidP="009B6376">
      <w:pPr>
        <w:ind w:left="90"/>
        <w:jc w:val="both"/>
        <w:rPr>
          <w:rFonts w:ascii="Times New Roman" w:hAnsi="Times New Roman" w:cs="Times New Roman"/>
          <w:sz w:val="28"/>
          <w:szCs w:val="28"/>
        </w:rPr>
      </w:pPr>
      <w:r w:rsidRPr="006333CC">
        <w:rPr>
          <w:rFonts w:ascii="Times New Roman" w:hAnsi="Times New Roman" w:cs="Times New Roman"/>
          <w:sz w:val="28"/>
          <w:szCs w:val="28"/>
        </w:rPr>
        <w:t xml:space="preserve">En la forme, il convient de noter que le projet de loi de finances </w:t>
      </w:r>
      <w:r w:rsidR="00442E81" w:rsidRPr="006333CC">
        <w:rPr>
          <w:rFonts w:ascii="Times New Roman" w:hAnsi="Times New Roman" w:cs="Times New Roman"/>
          <w:sz w:val="28"/>
          <w:szCs w:val="28"/>
        </w:rPr>
        <w:t>initiale 2024</w:t>
      </w:r>
      <w:r w:rsidRPr="006333CC">
        <w:rPr>
          <w:rFonts w:ascii="Times New Roman" w:hAnsi="Times New Roman" w:cs="Times New Roman"/>
          <w:sz w:val="28"/>
          <w:szCs w:val="28"/>
        </w:rPr>
        <w:t xml:space="preserve"> a été déposé </w:t>
      </w:r>
      <w:r w:rsidR="00442E81" w:rsidRPr="006333CC">
        <w:rPr>
          <w:rFonts w:ascii="Times New Roman" w:hAnsi="Times New Roman" w:cs="Times New Roman"/>
          <w:sz w:val="28"/>
          <w:szCs w:val="28"/>
        </w:rPr>
        <w:t xml:space="preserve">en violation de l’article 56 </w:t>
      </w:r>
      <w:r w:rsidRPr="006333CC">
        <w:rPr>
          <w:rFonts w:ascii="Times New Roman" w:hAnsi="Times New Roman" w:cs="Times New Roman"/>
          <w:sz w:val="28"/>
          <w:szCs w:val="28"/>
        </w:rPr>
        <w:t>de la Loi Organique Relative aux lois de Finances</w:t>
      </w:r>
      <w:r w:rsidR="00442E81" w:rsidRPr="006333CC">
        <w:rPr>
          <w:rFonts w:ascii="Times New Roman" w:hAnsi="Times New Roman" w:cs="Times New Roman"/>
          <w:sz w:val="28"/>
          <w:szCs w:val="28"/>
        </w:rPr>
        <w:t xml:space="preserve"> qui </w:t>
      </w:r>
      <w:r w:rsidR="00004829" w:rsidRPr="006333CC">
        <w:rPr>
          <w:rFonts w:ascii="Times New Roman" w:hAnsi="Times New Roman" w:cs="Times New Roman"/>
          <w:sz w:val="28"/>
          <w:szCs w:val="28"/>
        </w:rPr>
        <w:t>fixe</w:t>
      </w:r>
      <w:r w:rsidR="00442E81" w:rsidRPr="006333CC">
        <w:rPr>
          <w:rFonts w:ascii="Times New Roman" w:hAnsi="Times New Roman" w:cs="Times New Roman"/>
          <w:sz w:val="28"/>
          <w:szCs w:val="28"/>
        </w:rPr>
        <w:t xml:space="preserve"> </w:t>
      </w:r>
      <w:r w:rsidR="00004829" w:rsidRPr="006333CC">
        <w:rPr>
          <w:rFonts w:ascii="Times New Roman" w:hAnsi="Times New Roman" w:cs="Times New Roman"/>
          <w:sz w:val="28"/>
          <w:szCs w:val="28"/>
        </w:rPr>
        <w:t>au</w:t>
      </w:r>
      <w:r w:rsidR="00442E81" w:rsidRPr="006333CC">
        <w:rPr>
          <w:rFonts w:ascii="Times New Roman" w:hAnsi="Times New Roman" w:cs="Times New Roman"/>
          <w:sz w:val="28"/>
          <w:szCs w:val="28"/>
        </w:rPr>
        <w:t xml:space="preserve"> 15 octobre de chaque année </w:t>
      </w:r>
      <w:r w:rsidR="00004829" w:rsidRPr="006333CC">
        <w:rPr>
          <w:rFonts w:ascii="Times New Roman" w:hAnsi="Times New Roman" w:cs="Times New Roman"/>
          <w:sz w:val="28"/>
          <w:szCs w:val="28"/>
        </w:rPr>
        <w:t>la</w:t>
      </w:r>
      <w:r w:rsidR="00442E81" w:rsidRPr="006333CC">
        <w:rPr>
          <w:rFonts w:ascii="Times New Roman" w:hAnsi="Times New Roman" w:cs="Times New Roman"/>
          <w:sz w:val="28"/>
          <w:szCs w:val="28"/>
        </w:rPr>
        <w:t xml:space="preserve"> date limite de saisine légale.</w:t>
      </w:r>
    </w:p>
    <w:p w14:paraId="7D68E93A" w14:textId="77777777" w:rsidR="009B6376" w:rsidRPr="006333CC" w:rsidRDefault="009B6376" w:rsidP="009B6376">
      <w:pPr>
        <w:ind w:left="90"/>
        <w:jc w:val="both"/>
        <w:rPr>
          <w:rFonts w:ascii="Times New Roman" w:hAnsi="Times New Roman" w:cs="Times New Roman"/>
          <w:sz w:val="28"/>
          <w:szCs w:val="28"/>
        </w:rPr>
      </w:pPr>
    </w:p>
    <w:p w14:paraId="799EB67C" w14:textId="2739E7E2" w:rsidR="00EF5E33" w:rsidRPr="006333CC" w:rsidRDefault="00EF5E33" w:rsidP="00EF5E33">
      <w:pPr>
        <w:jc w:val="both"/>
        <w:rPr>
          <w:rFonts w:ascii="Times New Roman" w:hAnsi="Times New Roman" w:cs="Times New Roman"/>
          <w:sz w:val="28"/>
          <w:szCs w:val="28"/>
        </w:rPr>
      </w:pPr>
      <w:r w:rsidRPr="006333CC">
        <w:rPr>
          <w:rFonts w:ascii="Times New Roman" w:hAnsi="Times New Roman" w:cs="Times New Roman"/>
          <w:sz w:val="28"/>
          <w:szCs w:val="28"/>
        </w:rPr>
        <w:t>Quant</w:t>
      </w:r>
      <w:r w:rsidR="0013046D" w:rsidRPr="006333CC">
        <w:rPr>
          <w:rFonts w:ascii="Times New Roman" w:hAnsi="Times New Roman" w:cs="Times New Roman"/>
          <w:sz w:val="28"/>
          <w:szCs w:val="28"/>
        </w:rPr>
        <w:t xml:space="preserve"> au fond, la progression de 1,16</w:t>
      </w:r>
      <w:r w:rsidRPr="006333CC">
        <w:rPr>
          <w:rFonts w:ascii="Times New Roman" w:hAnsi="Times New Roman" w:cs="Times New Roman"/>
          <w:sz w:val="28"/>
          <w:szCs w:val="28"/>
        </w:rPr>
        <w:t xml:space="preserve">% </w:t>
      </w:r>
      <w:r w:rsidR="0013046D" w:rsidRPr="006333CC">
        <w:rPr>
          <w:rFonts w:ascii="Times New Roman" w:hAnsi="Times New Roman" w:cs="Times New Roman"/>
          <w:sz w:val="28"/>
          <w:szCs w:val="28"/>
        </w:rPr>
        <w:t>de la prévision des dépenses par rapport scénario de la LFR</w:t>
      </w:r>
      <w:r w:rsidR="00490CB5" w:rsidRPr="006333CC">
        <w:rPr>
          <w:rFonts w:ascii="Times New Roman" w:hAnsi="Times New Roman" w:cs="Times New Roman"/>
          <w:sz w:val="28"/>
          <w:szCs w:val="28"/>
        </w:rPr>
        <w:t xml:space="preserve"> 202</w:t>
      </w:r>
      <w:r w:rsidR="0013046D" w:rsidRPr="006333CC">
        <w:rPr>
          <w:rFonts w:ascii="Times New Roman" w:hAnsi="Times New Roman" w:cs="Times New Roman"/>
          <w:sz w:val="28"/>
          <w:szCs w:val="28"/>
        </w:rPr>
        <w:t>3</w:t>
      </w:r>
      <w:r w:rsidRPr="006333CC">
        <w:rPr>
          <w:rFonts w:ascii="Times New Roman" w:hAnsi="Times New Roman" w:cs="Times New Roman"/>
          <w:sz w:val="28"/>
          <w:szCs w:val="28"/>
        </w:rPr>
        <w:t xml:space="preserve"> est principalement tirée par les effets positifs des réformes engagées sur l’ensemble des secteurs de l’économie.</w:t>
      </w:r>
    </w:p>
    <w:p w14:paraId="58CB9E0B" w14:textId="77777777" w:rsidR="00EF5E33" w:rsidRPr="006333CC" w:rsidRDefault="00EF5E33" w:rsidP="00EF5E33">
      <w:pPr>
        <w:jc w:val="both"/>
        <w:rPr>
          <w:rFonts w:ascii="Times New Roman" w:hAnsi="Times New Roman" w:cs="Times New Roman"/>
          <w:sz w:val="28"/>
          <w:szCs w:val="28"/>
        </w:rPr>
      </w:pPr>
      <w:r w:rsidRPr="006333CC">
        <w:rPr>
          <w:rFonts w:ascii="Times New Roman" w:hAnsi="Times New Roman" w:cs="Times New Roman"/>
          <w:sz w:val="28"/>
          <w:szCs w:val="28"/>
        </w:rPr>
        <w:t> </w:t>
      </w:r>
    </w:p>
    <w:p w14:paraId="06037B12" w14:textId="2CE1B92B" w:rsidR="00EF5E33" w:rsidRPr="006333CC" w:rsidRDefault="00EF5E33" w:rsidP="00EF5E33">
      <w:pPr>
        <w:jc w:val="both"/>
        <w:rPr>
          <w:rFonts w:ascii="Times New Roman" w:hAnsi="Times New Roman" w:cs="Times New Roman"/>
          <w:sz w:val="28"/>
          <w:szCs w:val="28"/>
        </w:rPr>
      </w:pPr>
      <w:r w:rsidRPr="006333CC">
        <w:rPr>
          <w:rFonts w:ascii="Times New Roman" w:hAnsi="Times New Roman" w:cs="Times New Roman"/>
          <w:sz w:val="28"/>
          <w:szCs w:val="28"/>
        </w:rPr>
        <w:lastRenderedPageBreak/>
        <w:t>Dans l’ensemble, les membres des Commissions permanentes préconisent, à travers leurs amendements et recommandations, une continuité de l’amélioration de la qualité des dépenses budgétaires et une meilleure gestion des finances publiques.</w:t>
      </w:r>
    </w:p>
    <w:p w14:paraId="3746A982" w14:textId="77777777" w:rsidR="00EF5E33" w:rsidRPr="006333CC" w:rsidRDefault="00EF5E33" w:rsidP="00EF5E33">
      <w:pPr>
        <w:jc w:val="both"/>
        <w:rPr>
          <w:rFonts w:ascii="Times New Roman" w:hAnsi="Times New Roman" w:cs="Times New Roman"/>
          <w:sz w:val="28"/>
          <w:szCs w:val="28"/>
        </w:rPr>
      </w:pPr>
    </w:p>
    <w:p w14:paraId="4E951277" w14:textId="01A80E51" w:rsidR="00EF5E33" w:rsidRPr="006333CC" w:rsidRDefault="00EF5E33" w:rsidP="00EF5E33">
      <w:pPr>
        <w:jc w:val="both"/>
        <w:rPr>
          <w:rFonts w:ascii="Times New Roman" w:hAnsi="Times New Roman" w:cs="Times New Roman"/>
          <w:sz w:val="28"/>
          <w:szCs w:val="28"/>
        </w:rPr>
      </w:pPr>
      <w:r w:rsidRPr="006333CC">
        <w:rPr>
          <w:rFonts w:ascii="Times New Roman" w:hAnsi="Times New Roman" w:cs="Times New Roman"/>
          <w:sz w:val="28"/>
          <w:szCs w:val="28"/>
        </w:rPr>
        <w:t>A ce titre, ils recommandent l’application stricte des règles édictées par la loi organique relative aux lois de finances (LORF) et le règlement général sur la gestion budgétaire et la comptabilité publique (RGGBCP)</w:t>
      </w:r>
      <w:r w:rsidR="00004829" w:rsidRPr="006333CC">
        <w:rPr>
          <w:rFonts w:ascii="Times New Roman" w:hAnsi="Times New Roman" w:cs="Times New Roman"/>
          <w:sz w:val="28"/>
          <w:szCs w:val="28"/>
        </w:rPr>
        <w:t>,</w:t>
      </w:r>
      <w:r w:rsidRPr="006333CC">
        <w:rPr>
          <w:rFonts w:ascii="Times New Roman" w:hAnsi="Times New Roman" w:cs="Times New Roman"/>
          <w:sz w:val="28"/>
          <w:szCs w:val="28"/>
        </w:rPr>
        <w:t> relative à la mobilisation et l’exécution des dépenses publiques et à la production dans les délais légaux des rapports trimestriels sur l’exécution du budget et les lois de règlement (art 52 et 60 de la LORF).</w:t>
      </w:r>
    </w:p>
    <w:p w14:paraId="0C868640" w14:textId="77777777" w:rsidR="00597111" w:rsidRPr="006333CC" w:rsidRDefault="00597111" w:rsidP="00EF5E33">
      <w:pPr>
        <w:jc w:val="both"/>
        <w:rPr>
          <w:rFonts w:ascii="Times New Roman" w:hAnsi="Times New Roman" w:cs="Times New Roman"/>
          <w:sz w:val="28"/>
          <w:szCs w:val="28"/>
        </w:rPr>
      </w:pPr>
    </w:p>
    <w:p w14:paraId="0952E781" w14:textId="2E539D80" w:rsidR="00597111" w:rsidRPr="006333CC" w:rsidRDefault="00597111" w:rsidP="006D5230">
      <w:pPr>
        <w:jc w:val="both"/>
        <w:rPr>
          <w:rFonts w:ascii="Times New Roman" w:hAnsi="Times New Roman" w:cs="Times New Roman"/>
          <w:b/>
          <w:sz w:val="28"/>
          <w:szCs w:val="28"/>
        </w:rPr>
      </w:pPr>
      <w:r w:rsidRPr="006333CC">
        <w:rPr>
          <w:rFonts w:ascii="Times New Roman" w:hAnsi="Times New Roman" w:cs="Times New Roman"/>
          <w:b/>
          <w:sz w:val="28"/>
          <w:szCs w:val="28"/>
        </w:rPr>
        <w:t>Honorables Conseillers Nationaux,</w:t>
      </w:r>
    </w:p>
    <w:p w14:paraId="1FD8EB51" w14:textId="77777777" w:rsidR="00597111" w:rsidRPr="006333CC" w:rsidRDefault="00597111" w:rsidP="00EF5E33">
      <w:pPr>
        <w:jc w:val="both"/>
        <w:rPr>
          <w:rFonts w:ascii="Times New Roman" w:hAnsi="Times New Roman" w:cs="Times New Roman"/>
          <w:b/>
          <w:sz w:val="28"/>
          <w:szCs w:val="28"/>
        </w:rPr>
      </w:pPr>
    </w:p>
    <w:p w14:paraId="5AD13138" w14:textId="5DD93589" w:rsidR="00597111" w:rsidRPr="006333CC" w:rsidRDefault="00597111" w:rsidP="00EF5E33">
      <w:pPr>
        <w:jc w:val="both"/>
        <w:rPr>
          <w:rFonts w:ascii="Times New Roman" w:hAnsi="Times New Roman" w:cs="Times New Roman"/>
          <w:sz w:val="28"/>
          <w:szCs w:val="28"/>
        </w:rPr>
      </w:pPr>
      <w:r w:rsidRPr="006333CC">
        <w:rPr>
          <w:rFonts w:ascii="Times New Roman" w:hAnsi="Times New Roman" w:cs="Times New Roman"/>
          <w:sz w:val="28"/>
          <w:szCs w:val="28"/>
        </w:rPr>
        <w:t>Après avoir examiné dans les détails le contenu du projet de LFI 2024 dans son volet dépenses, et tenant compte des réponses apportées par les Ministres et leurs cadres, les membres de la Commission du Plan, des Affaires Financières et du Contrôle Budgétaire adhèrent à l’unanimité au présent rapport et souhaitent qu’il emporte l’adhésion de la plénière.</w:t>
      </w:r>
    </w:p>
    <w:p w14:paraId="58CE08F2" w14:textId="77777777" w:rsidR="00597111" w:rsidRPr="006333CC" w:rsidRDefault="00597111" w:rsidP="00EF5E33">
      <w:pPr>
        <w:jc w:val="both"/>
        <w:rPr>
          <w:rFonts w:ascii="Times New Roman" w:hAnsi="Times New Roman" w:cs="Times New Roman"/>
          <w:sz w:val="28"/>
          <w:szCs w:val="28"/>
        </w:rPr>
      </w:pPr>
    </w:p>
    <w:p w14:paraId="733A16C2" w14:textId="01252E8C" w:rsidR="00597111" w:rsidRPr="006333CC" w:rsidRDefault="00597111" w:rsidP="00EF5E33">
      <w:pPr>
        <w:jc w:val="both"/>
        <w:rPr>
          <w:rFonts w:ascii="Times New Roman" w:hAnsi="Times New Roman" w:cs="Times New Roman"/>
          <w:sz w:val="28"/>
          <w:szCs w:val="28"/>
        </w:rPr>
      </w:pPr>
      <w:r w:rsidRPr="006333CC">
        <w:rPr>
          <w:rFonts w:ascii="Times New Roman" w:hAnsi="Times New Roman" w:cs="Times New Roman"/>
          <w:sz w:val="28"/>
          <w:szCs w:val="28"/>
        </w:rPr>
        <w:t xml:space="preserve">Monsieur le Président du CNT, Honorables Conseillers (ères), telle est la quintessence du présent rapport que la commission à l’honneur de soumettre à votre haute appréciation.  </w:t>
      </w:r>
    </w:p>
    <w:p w14:paraId="2590505B" w14:textId="77777777" w:rsidR="0091370A" w:rsidRPr="006333CC" w:rsidRDefault="0091370A" w:rsidP="0091370A">
      <w:pPr>
        <w:jc w:val="both"/>
        <w:rPr>
          <w:rFonts w:ascii="Times New Roman" w:hAnsi="Times New Roman" w:cs="Times New Roman"/>
          <w:sz w:val="28"/>
          <w:szCs w:val="28"/>
        </w:rPr>
      </w:pPr>
    </w:p>
    <w:p w14:paraId="6CEB0726" w14:textId="77777777" w:rsidR="00597111" w:rsidRPr="006333CC" w:rsidRDefault="00597111" w:rsidP="0091370A">
      <w:pPr>
        <w:jc w:val="both"/>
        <w:rPr>
          <w:rFonts w:ascii="Times New Roman" w:hAnsi="Times New Roman" w:cs="Times New Roman"/>
          <w:sz w:val="28"/>
          <w:szCs w:val="28"/>
        </w:rPr>
      </w:pPr>
    </w:p>
    <w:p w14:paraId="15EEB6B7" w14:textId="5C840720" w:rsidR="0061303D" w:rsidRPr="006333CC" w:rsidRDefault="0061303D" w:rsidP="008A2776">
      <w:pPr>
        <w:jc w:val="center"/>
        <w:rPr>
          <w:rFonts w:ascii="Times New Roman" w:hAnsi="Times New Roman" w:cs="Times New Roman"/>
          <w:sz w:val="28"/>
          <w:szCs w:val="28"/>
        </w:rPr>
      </w:pPr>
      <w:r w:rsidRPr="006333CC">
        <w:rPr>
          <w:rFonts w:ascii="Times New Roman" w:hAnsi="Times New Roman" w:cs="Times New Roman"/>
          <w:sz w:val="28"/>
          <w:szCs w:val="28"/>
        </w:rPr>
        <w:t>Je vous remercie.</w:t>
      </w:r>
    </w:p>
    <w:p w14:paraId="0F7E2A34" w14:textId="77777777" w:rsidR="00597111" w:rsidRPr="006333CC" w:rsidRDefault="00597111" w:rsidP="004C1F70">
      <w:pPr>
        <w:jc w:val="right"/>
        <w:rPr>
          <w:rFonts w:ascii="Times New Roman" w:hAnsi="Times New Roman" w:cs="Times New Roman"/>
          <w:sz w:val="28"/>
          <w:szCs w:val="28"/>
        </w:rPr>
      </w:pPr>
    </w:p>
    <w:p w14:paraId="6A0A3FB8" w14:textId="77777777" w:rsidR="00DB7B56" w:rsidRPr="006333CC" w:rsidRDefault="00DB7B56" w:rsidP="004C1F70">
      <w:pPr>
        <w:jc w:val="right"/>
        <w:rPr>
          <w:rFonts w:ascii="Times New Roman" w:hAnsi="Times New Roman" w:cs="Times New Roman"/>
          <w:sz w:val="28"/>
          <w:szCs w:val="28"/>
        </w:rPr>
      </w:pPr>
    </w:p>
    <w:p w14:paraId="01E448C0" w14:textId="677AB8A3" w:rsidR="0061303D" w:rsidRPr="006333CC" w:rsidRDefault="0061303D" w:rsidP="004C1F70">
      <w:pPr>
        <w:jc w:val="right"/>
        <w:rPr>
          <w:rFonts w:ascii="Times New Roman" w:hAnsi="Times New Roman" w:cs="Times New Roman"/>
          <w:b/>
          <w:bCs/>
          <w:sz w:val="28"/>
          <w:szCs w:val="28"/>
        </w:rPr>
      </w:pPr>
      <w:r w:rsidRPr="006333CC">
        <w:rPr>
          <w:rFonts w:ascii="Times New Roman" w:hAnsi="Times New Roman" w:cs="Times New Roman"/>
          <w:b/>
          <w:bCs/>
          <w:sz w:val="28"/>
          <w:szCs w:val="28"/>
        </w:rPr>
        <w:t>La commission</w:t>
      </w:r>
    </w:p>
    <w:p w14:paraId="2DC79F0E" w14:textId="77777777" w:rsidR="0061303D" w:rsidRPr="00C632CB" w:rsidRDefault="0061303D" w:rsidP="0061303D">
      <w:pPr>
        <w:jc w:val="right"/>
        <w:rPr>
          <w:rFonts w:ascii="Times New Roman" w:hAnsi="Times New Roman" w:cs="Times New Roman"/>
          <w:sz w:val="24"/>
          <w:szCs w:val="24"/>
        </w:rPr>
      </w:pPr>
      <w:r w:rsidRPr="00C632CB">
        <w:rPr>
          <w:rFonts w:ascii="Times New Roman" w:hAnsi="Times New Roman" w:cs="Times New Roman"/>
          <w:sz w:val="24"/>
          <w:szCs w:val="24"/>
        </w:rPr>
        <w:t> </w:t>
      </w:r>
    </w:p>
    <w:p w14:paraId="5E2DA37E" w14:textId="5F9E84E6" w:rsidR="0061303D" w:rsidRPr="00C632CB" w:rsidRDefault="0061303D" w:rsidP="0061303D">
      <w:pPr>
        <w:spacing w:line="324" w:lineRule="atLeast"/>
        <w:rPr>
          <w:rFonts w:ascii="Times New Roman" w:hAnsi="Times New Roman" w:cs="Times New Roman"/>
          <w:sz w:val="24"/>
          <w:szCs w:val="24"/>
        </w:rPr>
      </w:pPr>
    </w:p>
    <w:p w14:paraId="17E60D97" w14:textId="77777777" w:rsidR="0061303D" w:rsidRPr="00C632CB" w:rsidRDefault="0061303D" w:rsidP="0061303D">
      <w:pPr>
        <w:rPr>
          <w:rFonts w:ascii="Times New Roman" w:hAnsi="Times New Roman" w:cs="Times New Roman"/>
          <w:sz w:val="24"/>
          <w:szCs w:val="24"/>
        </w:rPr>
      </w:pPr>
      <w:r w:rsidRPr="00C632CB">
        <w:rPr>
          <w:rFonts w:ascii="Times New Roman" w:hAnsi="Times New Roman" w:cs="Times New Roman"/>
          <w:sz w:val="24"/>
          <w:szCs w:val="24"/>
        </w:rPr>
        <w:t> </w:t>
      </w:r>
    </w:p>
    <w:p w14:paraId="62983B40" w14:textId="77777777" w:rsidR="0061303D" w:rsidRPr="004C1F70" w:rsidRDefault="0061303D">
      <w:pPr>
        <w:rPr>
          <w:rFonts w:ascii="Times New Roman" w:hAnsi="Times New Roman" w:cs="Times New Roman"/>
          <w:sz w:val="24"/>
          <w:szCs w:val="24"/>
        </w:rPr>
      </w:pPr>
    </w:p>
    <w:sectPr w:rsidR="0061303D" w:rsidRPr="004C1F70" w:rsidSect="004724F3">
      <w:foot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6B5D" w14:textId="77777777" w:rsidR="00710EC6" w:rsidRDefault="00710EC6" w:rsidP="00234E40">
      <w:r>
        <w:separator/>
      </w:r>
    </w:p>
  </w:endnote>
  <w:endnote w:type="continuationSeparator" w:id="0">
    <w:p w14:paraId="0395B4F8" w14:textId="77777777" w:rsidR="00710EC6" w:rsidRDefault="00710EC6" w:rsidP="002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altName w:val="OPTIMA EXTRABLACK"/>
    <w:panose1 w:val="02070A03080606020203"/>
    <w:charset w:val="00"/>
    <w:family w:val="roman"/>
    <w:pitch w:val="variable"/>
    <w:sig w:usb0="00000003" w:usb1="00000000" w:usb2="00000000" w:usb3="00000000" w:csb0="00000001" w:csb1="00000000"/>
  </w:font>
  <w:font w:name="-webkit-standard">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B5CD" w14:textId="77777777" w:rsidR="00FD529B" w:rsidRDefault="00FD529B">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DD6A10">
      <w:rPr>
        <w:caps/>
        <w:noProof/>
        <w:color w:val="4472C4" w:themeColor="accent1"/>
      </w:rPr>
      <w:t>13</w:t>
    </w:r>
    <w:r>
      <w:rPr>
        <w:caps/>
        <w:color w:val="4472C4" w:themeColor="accent1"/>
      </w:rPr>
      <w:fldChar w:fldCharType="end"/>
    </w:r>
  </w:p>
  <w:p w14:paraId="37FC05B2" w14:textId="77777777" w:rsidR="00FD529B" w:rsidRDefault="00FD52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A11A" w14:textId="77777777" w:rsidR="00710EC6" w:rsidRDefault="00710EC6" w:rsidP="00234E40">
      <w:r>
        <w:separator/>
      </w:r>
    </w:p>
  </w:footnote>
  <w:footnote w:type="continuationSeparator" w:id="0">
    <w:p w14:paraId="22372799" w14:textId="77777777" w:rsidR="00710EC6" w:rsidRDefault="00710EC6" w:rsidP="0023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43D"/>
    <w:multiLevelType w:val="hybridMultilevel"/>
    <w:tmpl w:val="867A95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637267"/>
    <w:multiLevelType w:val="hybridMultilevel"/>
    <w:tmpl w:val="DF22B6E2"/>
    <w:lvl w:ilvl="0" w:tplc="2000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EA0DA7"/>
    <w:multiLevelType w:val="hybridMultilevel"/>
    <w:tmpl w:val="1E343832"/>
    <w:lvl w:ilvl="0" w:tplc="2000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6720FB1"/>
    <w:multiLevelType w:val="hybridMultilevel"/>
    <w:tmpl w:val="3968CB8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8A602A"/>
    <w:multiLevelType w:val="hybridMultilevel"/>
    <w:tmpl w:val="09427B3A"/>
    <w:lvl w:ilvl="0" w:tplc="20000005">
      <w:start w:val="1"/>
      <w:numFmt w:val="bullet"/>
      <w:lvlText w:val=""/>
      <w:lvlJc w:val="left"/>
      <w:pPr>
        <w:ind w:left="1068" w:hanging="360"/>
      </w:pPr>
      <w:rPr>
        <w:rFonts w:ascii="Wingdings" w:hAnsi="Wingdings"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5" w15:restartNumberingAfterBreak="0">
    <w:nsid w:val="29A13FA1"/>
    <w:multiLevelType w:val="hybridMultilevel"/>
    <w:tmpl w:val="9FE47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BE3E5D"/>
    <w:multiLevelType w:val="hybridMultilevel"/>
    <w:tmpl w:val="63343B7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7310E2E"/>
    <w:multiLevelType w:val="hybridMultilevel"/>
    <w:tmpl w:val="4D8EB018"/>
    <w:lvl w:ilvl="0" w:tplc="7CE87560">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ECB2FC0"/>
    <w:multiLevelType w:val="hybridMultilevel"/>
    <w:tmpl w:val="0D8CF79E"/>
    <w:lvl w:ilvl="0" w:tplc="20000001">
      <w:start w:val="1"/>
      <w:numFmt w:val="bullet"/>
      <w:lvlText w:val=""/>
      <w:lvlJc w:val="left"/>
      <w:pPr>
        <w:ind w:left="607" w:hanging="360"/>
      </w:pPr>
      <w:rPr>
        <w:rFonts w:ascii="Symbol" w:hAnsi="Symbol" w:hint="default"/>
      </w:rPr>
    </w:lvl>
    <w:lvl w:ilvl="1" w:tplc="20000003" w:tentative="1">
      <w:start w:val="1"/>
      <w:numFmt w:val="bullet"/>
      <w:lvlText w:val="o"/>
      <w:lvlJc w:val="left"/>
      <w:pPr>
        <w:ind w:left="1327" w:hanging="360"/>
      </w:pPr>
      <w:rPr>
        <w:rFonts w:ascii="Courier New" w:hAnsi="Courier New" w:cs="Courier New" w:hint="default"/>
      </w:rPr>
    </w:lvl>
    <w:lvl w:ilvl="2" w:tplc="20000005" w:tentative="1">
      <w:start w:val="1"/>
      <w:numFmt w:val="bullet"/>
      <w:lvlText w:val=""/>
      <w:lvlJc w:val="left"/>
      <w:pPr>
        <w:ind w:left="2047" w:hanging="360"/>
      </w:pPr>
      <w:rPr>
        <w:rFonts w:ascii="Wingdings" w:hAnsi="Wingdings" w:hint="default"/>
      </w:rPr>
    </w:lvl>
    <w:lvl w:ilvl="3" w:tplc="20000001" w:tentative="1">
      <w:start w:val="1"/>
      <w:numFmt w:val="bullet"/>
      <w:lvlText w:val=""/>
      <w:lvlJc w:val="left"/>
      <w:pPr>
        <w:ind w:left="2767" w:hanging="360"/>
      </w:pPr>
      <w:rPr>
        <w:rFonts w:ascii="Symbol" w:hAnsi="Symbol" w:hint="default"/>
      </w:rPr>
    </w:lvl>
    <w:lvl w:ilvl="4" w:tplc="20000003" w:tentative="1">
      <w:start w:val="1"/>
      <w:numFmt w:val="bullet"/>
      <w:lvlText w:val="o"/>
      <w:lvlJc w:val="left"/>
      <w:pPr>
        <w:ind w:left="3487" w:hanging="360"/>
      </w:pPr>
      <w:rPr>
        <w:rFonts w:ascii="Courier New" w:hAnsi="Courier New" w:cs="Courier New" w:hint="default"/>
      </w:rPr>
    </w:lvl>
    <w:lvl w:ilvl="5" w:tplc="20000005" w:tentative="1">
      <w:start w:val="1"/>
      <w:numFmt w:val="bullet"/>
      <w:lvlText w:val=""/>
      <w:lvlJc w:val="left"/>
      <w:pPr>
        <w:ind w:left="4207" w:hanging="360"/>
      </w:pPr>
      <w:rPr>
        <w:rFonts w:ascii="Wingdings" w:hAnsi="Wingdings" w:hint="default"/>
      </w:rPr>
    </w:lvl>
    <w:lvl w:ilvl="6" w:tplc="20000001" w:tentative="1">
      <w:start w:val="1"/>
      <w:numFmt w:val="bullet"/>
      <w:lvlText w:val=""/>
      <w:lvlJc w:val="left"/>
      <w:pPr>
        <w:ind w:left="4927" w:hanging="360"/>
      </w:pPr>
      <w:rPr>
        <w:rFonts w:ascii="Symbol" w:hAnsi="Symbol" w:hint="default"/>
      </w:rPr>
    </w:lvl>
    <w:lvl w:ilvl="7" w:tplc="20000003" w:tentative="1">
      <w:start w:val="1"/>
      <w:numFmt w:val="bullet"/>
      <w:lvlText w:val="o"/>
      <w:lvlJc w:val="left"/>
      <w:pPr>
        <w:ind w:left="5647" w:hanging="360"/>
      </w:pPr>
      <w:rPr>
        <w:rFonts w:ascii="Courier New" w:hAnsi="Courier New" w:cs="Courier New" w:hint="default"/>
      </w:rPr>
    </w:lvl>
    <w:lvl w:ilvl="8" w:tplc="20000005" w:tentative="1">
      <w:start w:val="1"/>
      <w:numFmt w:val="bullet"/>
      <w:lvlText w:val=""/>
      <w:lvlJc w:val="left"/>
      <w:pPr>
        <w:ind w:left="6367" w:hanging="360"/>
      </w:pPr>
      <w:rPr>
        <w:rFonts w:ascii="Wingdings" w:hAnsi="Wingdings" w:hint="default"/>
      </w:rPr>
    </w:lvl>
  </w:abstractNum>
  <w:abstractNum w:abstractNumId="9" w15:restartNumberingAfterBreak="0">
    <w:nsid w:val="4A031629"/>
    <w:multiLevelType w:val="hybridMultilevel"/>
    <w:tmpl w:val="C148954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A061545"/>
    <w:multiLevelType w:val="hybridMultilevel"/>
    <w:tmpl w:val="7E88B3EC"/>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4E17132F"/>
    <w:multiLevelType w:val="hybridMultilevel"/>
    <w:tmpl w:val="48AEB7DC"/>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57C27865"/>
    <w:multiLevelType w:val="hybridMultilevel"/>
    <w:tmpl w:val="28E2AB30"/>
    <w:lvl w:ilvl="0" w:tplc="07B058F8">
      <w:start w:val="1"/>
      <w:numFmt w:val="lowerLetter"/>
      <w:lvlText w:val="%1."/>
      <w:lvlJc w:val="left"/>
      <w:pPr>
        <w:ind w:left="76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C938B6"/>
    <w:multiLevelType w:val="hybridMultilevel"/>
    <w:tmpl w:val="2F18F5E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91F59DD"/>
    <w:multiLevelType w:val="hybridMultilevel"/>
    <w:tmpl w:val="98404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5"/>
  </w:num>
  <w:num w:numId="5">
    <w:abstractNumId w:val="7"/>
  </w:num>
  <w:num w:numId="6">
    <w:abstractNumId w:val="13"/>
  </w:num>
  <w:num w:numId="7">
    <w:abstractNumId w:val="14"/>
  </w:num>
  <w:num w:numId="8">
    <w:abstractNumId w:val="2"/>
  </w:num>
  <w:num w:numId="9">
    <w:abstractNumId w:val="1"/>
  </w:num>
  <w:num w:numId="10">
    <w:abstractNumId w:val="10"/>
  </w:num>
  <w:num w:numId="11">
    <w:abstractNumId w:val="4"/>
  </w:num>
  <w:num w:numId="12">
    <w:abstractNumId w:val="6"/>
  </w:num>
  <w:num w:numId="13">
    <w:abstractNumId w:val="9"/>
  </w:num>
  <w:num w:numId="14">
    <w:abstractNumId w:val="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3D"/>
    <w:rsid w:val="00004829"/>
    <w:rsid w:val="00005E07"/>
    <w:rsid w:val="00011A74"/>
    <w:rsid w:val="000170C8"/>
    <w:rsid w:val="00037827"/>
    <w:rsid w:val="00044F81"/>
    <w:rsid w:val="00045719"/>
    <w:rsid w:val="00047A1A"/>
    <w:rsid w:val="00067A6D"/>
    <w:rsid w:val="00076D9F"/>
    <w:rsid w:val="00090684"/>
    <w:rsid w:val="000B7629"/>
    <w:rsid w:val="000C6AD7"/>
    <w:rsid w:val="000D084D"/>
    <w:rsid w:val="000D70D5"/>
    <w:rsid w:val="000E143B"/>
    <w:rsid w:val="000E6AEB"/>
    <w:rsid w:val="001019F2"/>
    <w:rsid w:val="0010334A"/>
    <w:rsid w:val="00114773"/>
    <w:rsid w:val="00115C8E"/>
    <w:rsid w:val="0013046D"/>
    <w:rsid w:val="001463BC"/>
    <w:rsid w:val="001573E7"/>
    <w:rsid w:val="001629C4"/>
    <w:rsid w:val="001778D5"/>
    <w:rsid w:val="001836F4"/>
    <w:rsid w:val="001E071C"/>
    <w:rsid w:val="001E22BB"/>
    <w:rsid w:val="001E6616"/>
    <w:rsid w:val="00201C0E"/>
    <w:rsid w:val="00205237"/>
    <w:rsid w:val="00206B22"/>
    <w:rsid w:val="00215BC5"/>
    <w:rsid w:val="00232DE0"/>
    <w:rsid w:val="00234638"/>
    <w:rsid w:val="00234E40"/>
    <w:rsid w:val="00236F25"/>
    <w:rsid w:val="002547C4"/>
    <w:rsid w:val="00262C0C"/>
    <w:rsid w:val="00266BC7"/>
    <w:rsid w:val="00290C97"/>
    <w:rsid w:val="002A2E47"/>
    <w:rsid w:val="002A5D07"/>
    <w:rsid w:val="002B757A"/>
    <w:rsid w:val="002D15C8"/>
    <w:rsid w:val="002E02A3"/>
    <w:rsid w:val="002E1BB0"/>
    <w:rsid w:val="003071DA"/>
    <w:rsid w:val="00310794"/>
    <w:rsid w:val="0031122F"/>
    <w:rsid w:val="00326A6C"/>
    <w:rsid w:val="00330543"/>
    <w:rsid w:val="00330DFE"/>
    <w:rsid w:val="00341EF7"/>
    <w:rsid w:val="00367123"/>
    <w:rsid w:val="00372EE4"/>
    <w:rsid w:val="003829A7"/>
    <w:rsid w:val="00384CDF"/>
    <w:rsid w:val="003B5EBF"/>
    <w:rsid w:val="003C5CB7"/>
    <w:rsid w:val="003D016F"/>
    <w:rsid w:val="003D2A93"/>
    <w:rsid w:val="0040574A"/>
    <w:rsid w:val="004126DD"/>
    <w:rsid w:val="0043415C"/>
    <w:rsid w:val="00437C12"/>
    <w:rsid w:val="00442E81"/>
    <w:rsid w:val="004463F5"/>
    <w:rsid w:val="004538AD"/>
    <w:rsid w:val="00460678"/>
    <w:rsid w:val="00470140"/>
    <w:rsid w:val="004724F3"/>
    <w:rsid w:val="00476D08"/>
    <w:rsid w:val="00480BDF"/>
    <w:rsid w:val="004905BA"/>
    <w:rsid w:val="00490CB5"/>
    <w:rsid w:val="004B3BB5"/>
    <w:rsid w:val="004C01D6"/>
    <w:rsid w:val="004C1F70"/>
    <w:rsid w:val="004D061A"/>
    <w:rsid w:val="004D64CC"/>
    <w:rsid w:val="004D7D88"/>
    <w:rsid w:val="004E232D"/>
    <w:rsid w:val="00506B26"/>
    <w:rsid w:val="00513239"/>
    <w:rsid w:val="00525CA6"/>
    <w:rsid w:val="00552C1C"/>
    <w:rsid w:val="0058180E"/>
    <w:rsid w:val="00583385"/>
    <w:rsid w:val="005961CD"/>
    <w:rsid w:val="00597111"/>
    <w:rsid w:val="00597617"/>
    <w:rsid w:val="005B7F0A"/>
    <w:rsid w:val="005C2DDF"/>
    <w:rsid w:val="005E169B"/>
    <w:rsid w:val="005E2BFF"/>
    <w:rsid w:val="005F3807"/>
    <w:rsid w:val="0061303D"/>
    <w:rsid w:val="00617AE4"/>
    <w:rsid w:val="00632215"/>
    <w:rsid w:val="006333CC"/>
    <w:rsid w:val="006448A3"/>
    <w:rsid w:val="00653669"/>
    <w:rsid w:val="00654426"/>
    <w:rsid w:val="00656427"/>
    <w:rsid w:val="00660C16"/>
    <w:rsid w:val="00686081"/>
    <w:rsid w:val="006C32E9"/>
    <w:rsid w:val="006D5230"/>
    <w:rsid w:val="006D5DA5"/>
    <w:rsid w:val="006D6B1B"/>
    <w:rsid w:val="007005EE"/>
    <w:rsid w:val="00705D27"/>
    <w:rsid w:val="00710EC6"/>
    <w:rsid w:val="00717664"/>
    <w:rsid w:val="00733634"/>
    <w:rsid w:val="007466E5"/>
    <w:rsid w:val="00760573"/>
    <w:rsid w:val="007607C1"/>
    <w:rsid w:val="0076165A"/>
    <w:rsid w:val="0076324F"/>
    <w:rsid w:val="007914B3"/>
    <w:rsid w:val="007A7E0E"/>
    <w:rsid w:val="007C196D"/>
    <w:rsid w:val="007D3D0F"/>
    <w:rsid w:val="007E1825"/>
    <w:rsid w:val="007F4023"/>
    <w:rsid w:val="00805875"/>
    <w:rsid w:val="00820337"/>
    <w:rsid w:val="00820B55"/>
    <w:rsid w:val="00846078"/>
    <w:rsid w:val="0085076B"/>
    <w:rsid w:val="00852713"/>
    <w:rsid w:val="00853F23"/>
    <w:rsid w:val="0086457D"/>
    <w:rsid w:val="00880F89"/>
    <w:rsid w:val="00892CAE"/>
    <w:rsid w:val="00894BDF"/>
    <w:rsid w:val="00895103"/>
    <w:rsid w:val="00896ED3"/>
    <w:rsid w:val="008A2776"/>
    <w:rsid w:val="008B36D8"/>
    <w:rsid w:val="008B518A"/>
    <w:rsid w:val="008C6771"/>
    <w:rsid w:val="008E4A57"/>
    <w:rsid w:val="00903967"/>
    <w:rsid w:val="0091314B"/>
    <w:rsid w:val="0091370A"/>
    <w:rsid w:val="00961B5A"/>
    <w:rsid w:val="009706EA"/>
    <w:rsid w:val="009757A7"/>
    <w:rsid w:val="009A2224"/>
    <w:rsid w:val="009B6376"/>
    <w:rsid w:val="009C379B"/>
    <w:rsid w:val="009D6921"/>
    <w:rsid w:val="009D7348"/>
    <w:rsid w:val="009F3749"/>
    <w:rsid w:val="009F40BB"/>
    <w:rsid w:val="00A234D0"/>
    <w:rsid w:val="00A31A89"/>
    <w:rsid w:val="00A611CB"/>
    <w:rsid w:val="00A72CF5"/>
    <w:rsid w:val="00A91289"/>
    <w:rsid w:val="00A9745C"/>
    <w:rsid w:val="00AB67F9"/>
    <w:rsid w:val="00AD5515"/>
    <w:rsid w:val="00AD7D3B"/>
    <w:rsid w:val="00B062DA"/>
    <w:rsid w:val="00B26D11"/>
    <w:rsid w:val="00B635A4"/>
    <w:rsid w:val="00B85203"/>
    <w:rsid w:val="00B97C40"/>
    <w:rsid w:val="00BA0753"/>
    <w:rsid w:val="00BA6800"/>
    <w:rsid w:val="00BC20A4"/>
    <w:rsid w:val="00BD06B7"/>
    <w:rsid w:val="00BD39DF"/>
    <w:rsid w:val="00BE27C5"/>
    <w:rsid w:val="00BE6C31"/>
    <w:rsid w:val="00BF3342"/>
    <w:rsid w:val="00BF42FF"/>
    <w:rsid w:val="00BF698A"/>
    <w:rsid w:val="00C0546E"/>
    <w:rsid w:val="00C1011A"/>
    <w:rsid w:val="00C23DAE"/>
    <w:rsid w:val="00C4578E"/>
    <w:rsid w:val="00C47CC7"/>
    <w:rsid w:val="00C57299"/>
    <w:rsid w:val="00C632CB"/>
    <w:rsid w:val="00C64C82"/>
    <w:rsid w:val="00C66323"/>
    <w:rsid w:val="00C77593"/>
    <w:rsid w:val="00C929FB"/>
    <w:rsid w:val="00C94A6C"/>
    <w:rsid w:val="00CB29DD"/>
    <w:rsid w:val="00CC664B"/>
    <w:rsid w:val="00CD0A77"/>
    <w:rsid w:val="00CD2BCC"/>
    <w:rsid w:val="00CE4628"/>
    <w:rsid w:val="00CF18C1"/>
    <w:rsid w:val="00D05F9C"/>
    <w:rsid w:val="00D10A02"/>
    <w:rsid w:val="00D37122"/>
    <w:rsid w:val="00D41014"/>
    <w:rsid w:val="00D42840"/>
    <w:rsid w:val="00D6504E"/>
    <w:rsid w:val="00D84B85"/>
    <w:rsid w:val="00D95664"/>
    <w:rsid w:val="00DA592A"/>
    <w:rsid w:val="00DB0102"/>
    <w:rsid w:val="00DB5872"/>
    <w:rsid w:val="00DB7B56"/>
    <w:rsid w:val="00DC6E94"/>
    <w:rsid w:val="00DD6A10"/>
    <w:rsid w:val="00DE551D"/>
    <w:rsid w:val="00E10D1F"/>
    <w:rsid w:val="00E259B4"/>
    <w:rsid w:val="00E26CBA"/>
    <w:rsid w:val="00E45A9E"/>
    <w:rsid w:val="00E57CCB"/>
    <w:rsid w:val="00E627E8"/>
    <w:rsid w:val="00E67F77"/>
    <w:rsid w:val="00E8364F"/>
    <w:rsid w:val="00E858A7"/>
    <w:rsid w:val="00E942D2"/>
    <w:rsid w:val="00EB1D86"/>
    <w:rsid w:val="00EB426C"/>
    <w:rsid w:val="00EB5F9A"/>
    <w:rsid w:val="00EB78AF"/>
    <w:rsid w:val="00EE20BB"/>
    <w:rsid w:val="00EE27EA"/>
    <w:rsid w:val="00EE7CFF"/>
    <w:rsid w:val="00EF2917"/>
    <w:rsid w:val="00EF5E33"/>
    <w:rsid w:val="00EF6996"/>
    <w:rsid w:val="00F078D6"/>
    <w:rsid w:val="00F44E30"/>
    <w:rsid w:val="00F91C48"/>
    <w:rsid w:val="00FC0D53"/>
    <w:rsid w:val="00FD529B"/>
    <w:rsid w:val="00FE0ACE"/>
    <w:rsid w:val="00FE23AF"/>
    <w:rsid w:val="00FF11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1822"/>
  <w15:docId w15:val="{68FF852E-874F-4E51-9111-4B51917A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nhideWhenUsed/>
    <w:qFormat/>
    <w:rsid w:val="00BA6800"/>
    <w:pPr>
      <w:keepNext/>
      <w:keepLines/>
      <w:spacing w:before="40"/>
      <w:outlineLvl w:val="2"/>
    </w:pPr>
    <w:rPr>
      <w:rFonts w:ascii="Cambria" w:eastAsia="Times New Roman" w:hAnsi="Cambria" w:cs="Times New Roman"/>
      <w:color w:val="243F60"/>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61303D"/>
    <w:pPr>
      <w:spacing w:before="100" w:beforeAutospacing="1" w:after="100" w:afterAutospacing="1"/>
    </w:pPr>
    <w:rPr>
      <w:rFonts w:ascii="Times New Roman" w:hAnsi="Times New Roman" w:cs="Times New Roman"/>
      <w:sz w:val="24"/>
      <w:szCs w:val="24"/>
    </w:rPr>
  </w:style>
  <w:style w:type="paragraph" w:customStyle="1" w:styleId="s3">
    <w:name w:val="s3"/>
    <w:basedOn w:val="Normal"/>
    <w:rsid w:val="0061303D"/>
    <w:pPr>
      <w:spacing w:before="100" w:beforeAutospacing="1" w:after="100" w:afterAutospacing="1"/>
    </w:pPr>
    <w:rPr>
      <w:rFonts w:ascii="Times New Roman" w:hAnsi="Times New Roman" w:cs="Times New Roman"/>
      <w:sz w:val="24"/>
      <w:szCs w:val="24"/>
    </w:rPr>
  </w:style>
  <w:style w:type="character" w:customStyle="1" w:styleId="s2">
    <w:name w:val="s2"/>
    <w:basedOn w:val="Policepardfaut"/>
    <w:rsid w:val="0061303D"/>
  </w:style>
  <w:style w:type="character" w:customStyle="1" w:styleId="bumpedfont15">
    <w:name w:val="bumpedfont15"/>
    <w:basedOn w:val="Policepardfaut"/>
    <w:rsid w:val="0061303D"/>
  </w:style>
  <w:style w:type="character" w:customStyle="1" w:styleId="s4">
    <w:name w:val="s4"/>
    <w:basedOn w:val="Policepardfaut"/>
    <w:rsid w:val="0061303D"/>
  </w:style>
  <w:style w:type="paragraph" w:customStyle="1" w:styleId="s6">
    <w:name w:val="s6"/>
    <w:basedOn w:val="Normal"/>
    <w:rsid w:val="0061303D"/>
    <w:pPr>
      <w:spacing w:before="100" w:beforeAutospacing="1" w:after="100" w:afterAutospacing="1"/>
    </w:pPr>
    <w:rPr>
      <w:rFonts w:ascii="Times New Roman" w:hAnsi="Times New Roman" w:cs="Times New Roman"/>
      <w:sz w:val="24"/>
      <w:szCs w:val="24"/>
    </w:rPr>
  </w:style>
  <w:style w:type="character" w:customStyle="1" w:styleId="s7">
    <w:name w:val="s7"/>
    <w:basedOn w:val="Policepardfaut"/>
    <w:rsid w:val="0061303D"/>
  </w:style>
  <w:style w:type="character" w:customStyle="1" w:styleId="s8">
    <w:name w:val="s8"/>
    <w:basedOn w:val="Policepardfaut"/>
    <w:rsid w:val="0061303D"/>
  </w:style>
  <w:style w:type="character" w:customStyle="1" w:styleId="apple-converted-space">
    <w:name w:val="apple-converted-space"/>
    <w:basedOn w:val="Policepardfaut"/>
    <w:rsid w:val="0061303D"/>
  </w:style>
  <w:style w:type="character" w:customStyle="1" w:styleId="s10">
    <w:name w:val="s10"/>
    <w:basedOn w:val="Policepardfaut"/>
    <w:rsid w:val="0061303D"/>
  </w:style>
  <w:style w:type="paragraph" w:customStyle="1" w:styleId="s11">
    <w:name w:val="s11"/>
    <w:basedOn w:val="Normal"/>
    <w:rsid w:val="0061303D"/>
    <w:pPr>
      <w:spacing w:before="100" w:beforeAutospacing="1" w:after="100" w:afterAutospacing="1"/>
    </w:pPr>
    <w:rPr>
      <w:rFonts w:ascii="Times New Roman" w:hAnsi="Times New Roman" w:cs="Times New Roman"/>
      <w:sz w:val="24"/>
      <w:szCs w:val="24"/>
    </w:rPr>
  </w:style>
  <w:style w:type="paragraph" w:customStyle="1" w:styleId="s13">
    <w:name w:val="s13"/>
    <w:basedOn w:val="Normal"/>
    <w:rsid w:val="0061303D"/>
    <w:pPr>
      <w:spacing w:before="100" w:beforeAutospacing="1" w:after="100" w:afterAutospacing="1"/>
    </w:pPr>
    <w:rPr>
      <w:rFonts w:ascii="Times New Roman" w:hAnsi="Times New Roman" w:cs="Times New Roman"/>
      <w:sz w:val="24"/>
      <w:szCs w:val="24"/>
    </w:rPr>
  </w:style>
  <w:style w:type="character" w:customStyle="1" w:styleId="s12">
    <w:name w:val="s12"/>
    <w:basedOn w:val="Policepardfaut"/>
    <w:rsid w:val="0061303D"/>
  </w:style>
  <w:style w:type="character" w:customStyle="1" w:styleId="s15">
    <w:name w:val="s15"/>
    <w:basedOn w:val="Policepardfaut"/>
    <w:rsid w:val="0061303D"/>
  </w:style>
  <w:style w:type="paragraph" w:customStyle="1" w:styleId="s16">
    <w:name w:val="s16"/>
    <w:basedOn w:val="Normal"/>
    <w:rsid w:val="0061303D"/>
    <w:pPr>
      <w:spacing w:before="100" w:beforeAutospacing="1" w:after="100" w:afterAutospacing="1"/>
    </w:pPr>
    <w:rPr>
      <w:rFonts w:ascii="Times New Roman" w:hAnsi="Times New Roman" w:cs="Times New Roman"/>
      <w:sz w:val="24"/>
      <w:szCs w:val="24"/>
    </w:rPr>
  </w:style>
  <w:style w:type="paragraph" w:customStyle="1" w:styleId="s17">
    <w:name w:val="s17"/>
    <w:basedOn w:val="Normal"/>
    <w:rsid w:val="0061303D"/>
    <w:pPr>
      <w:spacing w:before="100" w:beforeAutospacing="1" w:after="100" w:afterAutospacing="1"/>
    </w:pPr>
    <w:rPr>
      <w:rFonts w:ascii="Times New Roman" w:hAnsi="Times New Roman" w:cs="Times New Roman"/>
      <w:sz w:val="24"/>
      <w:szCs w:val="24"/>
    </w:rPr>
  </w:style>
  <w:style w:type="character" w:customStyle="1" w:styleId="s18">
    <w:name w:val="s18"/>
    <w:basedOn w:val="Policepardfaut"/>
    <w:rsid w:val="0061303D"/>
  </w:style>
  <w:style w:type="character" w:customStyle="1" w:styleId="s19">
    <w:name w:val="s19"/>
    <w:basedOn w:val="Policepardfaut"/>
    <w:rsid w:val="0061303D"/>
  </w:style>
  <w:style w:type="character" w:customStyle="1" w:styleId="s20">
    <w:name w:val="s20"/>
    <w:basedOn w:val="Policepardfaut"/>
    <w:rsid w:val="0061303D"/>
  </w:style>
  <w:style w:type="character" w:customStyle="1" w:styleId="s24">
    <w:name w:val="s24"/>
    <w:basedOn w:val="Policepardfaut"/>
    <w:rsid w:val="0061303D"/>
  </w:style>
  <w:style w:type="character" w:customStyle="1" w:styleId="s25">
    <w:name w:val="s25"/>
    <w:basedOn w:val="Policepardfaut"/>
    <w:rsid w:val="0061303D"/>
  </w:style>
  <w:style w:type="paragraph" w:customStyle="1" w:styleId="s28">
    <w:name w:val="s28"/>
    <w:basedOn w:val="Normal"/>
    <w:rsid w:val="0061303D"/>
    <w:pPr>
      <w:spacing w:before="100" w:beforeAutospacing="1" w:after="100" w:afterAutospacing="1"/>
    </w:pPr>
    <w:rPr>
      <w:rFonts w:ascii="Times New Roman" w:hAnsi="Times New Roman" w:cs="Times New Roman"/>
      <w:sz w:val="24"/>
      <w:szCs w:val="24"/>
    </w:rPr>
  </w:style>
  <w:style w:type="character" w:customStyle="1" w:styleId="s27">
    <w:name w:val="s27"/>
    <w:basedOn w:val="Policepardfaut"/>
    <w:rsid w:val="0061303D"/>
  </w:style>
  <w:style w:type="paragraph" w:customStyle="1" w:styleId="s30">
    <w:name w:val="s30"/>
    <w:basedOn w:val="Normal"/>
    <w:rsid w:val="0061303D"/>
    <w:pPr>
      <w:spacing w:before="100" w:beforeAutospacing="1" w:after="100" w:afterAutospacing="1"/>
    </w:pPr>
    <w:rPr>
      <w:rFonts w:ascii="Times New Roman" w:hAnsi="Times New Roman" w:cs="Times New Roman"/>
      <w:sz w:val="24"/>
      <w:szCs w:val="24"/>
    </w:rPr>
  </w:style>
  <w:style w:type="character" w:customStyle="1" w:styleId="s31">
    <w:name w:val="s31"/>
    <w:basedOn w:val="Policepardfaut"/>
    <w:rsid w:val="0061303D"/>
  </w:style>
  <w:style w:type="character" w:customStyle="1" w:styleId="s32">
    <w:name w:val="s32"/>
    <w:basedOn w:val="Policepardfaut"/>
    <w:rsid w:val="0061303D"/>
  </w:style>
  <w:style w:type="paragraph" w:customStyle="1" w:styleId="s34">
    <w:name w:val="s34"/>
    <w:basedOn w:val="Normal"/>
    <w:rsid w:val="0061303D"/>
    <w:pPr>
      <w:spacing w:before="100" w:beforeAutospacing="1" w:after="100" w:afterAutospacing="1"/>
    </w:pPr>
    <w:rPr>
      <w:rFonts w:ascii="Times New Roman" w:hAnsi="Times New Roman" w:cs="Times New Roman"/>
      <w:sz w:val="24"/>
      <w:szCs w:val="24"/>
    </w:rPr>
  </w:style>
  <w:style w:type="character" w:customStyle="1" w:styleId="s35">
    <w:name w:val="s35"/>
    <w:basedOn w:val="Policepardfaut"/>
    <w:rsid w:val="0061303D"/>
  </w:style>
  <w:style w:type="character" w:customStyle="1" w:styleId="s36">
    <w:name w:val="s36"/>
    <w:basedOn w:val="Policepardfaut"/>
    <w:rsid w:val="0061303D"/>
  </w:style>
  <w:style w:type="character" w:customStyle="1" w:styleId="s39">
    <w:name w:val="s39"/>
    <w:basedOn w:val="Policepardfaut"/>
    <w:rsid w:val="0061303D"/>
  </w:style>
  <w:style w:type="character" w:customStyle="1" w:styleId="s41">
    <w:name w:val="s41"/>
    <w:basedOn w:val="Policepardfaut"/>
    <w:rsid w:val="0061303D"/>
  </w:style>
  <w:style w:type="character" w:customStyle="1" w:styleId="s42">
    <w:name w:val="s42"/>
    <w:basedOn w:val="Policepardfaut"/>
    <w:rsid w:val="0061303D"/>
  </w:style>
  <w:style w:type="character" w:customStyle="1" w:styleId="s43">
    <w:name w:val="s43"/>
    <w:basedOn w:val="Policepardfaut"/>
    <w:rsid w:val="0061303D"/>
  </w:style>
  <w:style w:type="paragraph" w:styleId="NormalWeb">
    <w:name w:val="Normal (Web)"/>
    <w:basedOn w:val="Normal"/>
    <w:uiPriority w:val="99"/>
    <w:unhideWhenUsed/>
    <w:rsid w:val="0061303D"/>
    <w:pPr>
      <w:spacing w:before="100" w:beforeAutospacing="1" w:after="100" w:afterAutospacing="1"/>
    </w:pPr>
    <w:rPr>
      <w:rFonts w:ascii="Times New Roman" w:hAnsi="Times New Roman" w:cs="Times New Roman"/>
      <w:sz w:val="24"/>
      <w:szCs w:val="24"/>
    </w:rPr>
  </w:style>
  <w:style w:type="paragraph" w:styleId="Paragraphedeliste">
    <w:name w:val="List Paragraph"/>
    <w:aliases w:val="Bullets,Titre1,References,List Paragraph nowy,Liste 1,List Paragraph1,List Paragraph (numbered (a)),List Paragraph2,Text,Citation List,Liste couleur - Accent 11,- List tir,liste 1,puce 1,Puces,List Bullet Mary,Bullet 1"/>
    <w:basedOn w:val="Normal"/>
    <w:link w:val="ParagraphedelisteCar"/>
    <w:qFormat/>
    <w:rsid w:val="0010334A"/>
    <w:pPr>
      <w:ind w:left="720"/>
      <w:contextualSpacing/>
    </w:pPr>
  </w:style>
  <w:style w:type="paragraph" w:styleId="Citationintense">
    <w:name w:val="Intense Quote"/>
    <w:basedOn w:val="Normal"/>
    <w:next w:val="Normal"/>
    <w:link w:val="CitationintenseCar"/>
    <w:uiPriority w:val="30"/>
    <w:qFormat/>
    <w:rsid w:val="00BF3342"/>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itationintenseCar">
    <w:name w:val="Citation intense Car"/>
    <w:basedOn w:val="Policepardfaut"/>
    <w:link w:val="Citationintense"/>
    <w:uiPriority w:val="30"/>
    <w:rsid w:val="00BF3342"/>
    <w:rPr>
      <w:rFonts w:ascii="Calibri" w:eastAsia="Times New Roman" w:hAnsi="Calibri" w:cs="Times New Roman"/>
      <w:b/>
      <w:bCs/>
      <w:i/>
      <w:iCs/>
      <w:color w:val="4F81BD"/>
      <w:lang w:val="fr-FR"/>
    </w:rPr>
  </w:style>
  <w:style w:type="paragraph" w:styleId="En-tte">
    <w:name w:val="header"/>
    <w:basedOn w:val="Normal"/>
    <w:link w:val="En-tteCar"/>
    <w:uiPriority w:val="99"/>
    <w:unhideWhenUsed/>
    <w:rsid w:val="00234E40"/>
    <w:pPr>
      <w:tabs>
        <w:tab w:val="center" w:pos="4536"/>
        <w:tab w:val="right" w:pos="9072"/>
      </w:tabs>
    </w:pPr>
  </w:style>
  <w:style w:type="character" w:customStyle="1" w:styleId="En-tteCar">
    <w:name w:val="En-tête Car"/>
    <w:basedOn w:val="Policepardfaut"/>
    <w:link w:val="En-tte"/>
    <w:uiPriority w:val="99"/>
    <w:rsid w:val="00234E40"/>
  </w:style>
  <w:style w:type="paragraph" w:styleId="Pieddepage">
    <w:name w:val="footer"/>
    <w:basedOn w:val="Normal"/>
    <w:link w:val="PieddepageCar"/>
    <w:uiPriority w:val="99"/>
    <w:unhideWhenUsed/>
    <w:rsid w:val="00234E40"/>
    <w:pPr>
      <w:tabs>
        <w:tab w:val="center" w:pos="4536"/>
        <w:tab w:val="right" w:pos="9072"/>
      </w:tabs>
    </w:pPr>
  </w:style>
  <w:style w:type="character" w:customStyle="1" w:styleId="PieddepageCar">
    <w:name w:val="Pied de page Car"/>
    <w:basedOn w:val="Policepardfaut"/>
    <w:link w:val="Pieddepage"/>
    <w:uiPriority w:val="99"/>
    <w:rsid w:val="00234E40"/>
  </w:style>
  <w:style w:type="paragraph" w:styleId="Textedebulles">
    <w:name w:val="Balloon Text"/>
    <w:basedOn w:val="Normal"/>
    <w:link w:val="TextedebullesCar"/>
    <w:uiPriority w:val="99"/>
    <w:semiHidden/>
    <w:unhideWhenUsed/>
    <w:rsid w:val="008527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2713"/>
    <w:rPr>
      <w:rFonts w:ascii="Segoe UI" w:hAnsi="Segoe UI" w:cs="Segoe UI"/>
      <w:sz w:val="18"/>
      <w:szCs w:val="18"/>
    </w:rPr>
  </w:style>
  <w:style w:type="character" w:customStyle="1" w:styleId="Titre3Car">
    <w:name w:val="Titre 3 Car"/>
    <w:basedOn w:val="Policepardfaut"/>
    <w:link w:val="Titre3"/>
    <w:rsid w:val="00BA6800"/>
    <w:rPr>
      <w:rFonts w:ascii="Cambria" w:eastAsia="Times New Roman" w:hAnsi="Cambria" w:cs="Times New Roman"/>
      <w:color w:val="243F60"/>
      <w:sz w:val="24"/>
      <w:szCs w:val="24"/>
      <w:lang w:val="x-none" w:eastAsia="x-none"/>
    </w:rPr>
  </w:style>
  <w:style w:type="character" w:customStyle="1" w:styleId="ParagraphedelisteCar">
    <w:name w:val="Paragraphe de liste Car"/>
    <w:aliases w:val="Bullets Car,Titre1 Car,References Car,List Paragraph nowy Car,Liste 1 Car,List Paragraph1 Car,List Paragraph (numbered (a)) Car,List Paragraph2 Car,Text Car,Citation List Car,Liste couleur - Accent 11 Car,- List tir Car,Puces Car"/>
    <w:link w:val="Paragraphedeliste"/>
    <w:qFormat/>
    <w:locked/>
    <w:rsid w:val="00E942D2"/>
  </w:style>
  <w:style w:type="table" w:styleId="Grilledutableau">
    <w:name w:val="Table Grid"/>
    <w:basedOn w:val="TableauNormal"/>
    <w:uiPriority w:val="39"/>
    <w:rsid w:val="004D061A"/>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01">
      <w:marLeft w:val="540"/>
      <w:marRight w:val="0"/>
      <w:marTop w:val="0"/>
      <w:marBottom w:val="150"/>
      <w:divBdr>
        <w:top w:val="none" w:sz="0" w:space="0" w:color="auto"/>
        <w:left w:val="none" w:sz="0" w:space="0" w:color="auto"/>
        <w:bottom w:val="none" w:sz="0" w:space="0" w:color="auto"/>
        <w:right w:val="none" w:sz="0" w:space="0" w:color="auto"/>
      </w:divBdr>
    </w:div>
    <w:div w:id="13776977">
      <w:marLeft w:val="630"/>
      <w:marRight w:val="0"/>
      <w:marTop w:val="0"/>
      <w:marBottom w:val="150"/>
      <w:divBdr>
        <w:top w:val="none" w:sz="0" w:space="0" w:color="auto"/>
        <w:left w:val="none" w:sz="0" w:space="0" w:color="auto"/>
        <w:bottom w:val="none" w:sz="0" w:space="0" w:color="auto"/>
        <w:right w:val="none" w:sz="0" w:space="0" w:color="auto"/>
      </w:divBdr>
    </w:div>
    <w:div w:id="22021927">
      <w:marLeft w:val="0"/>
      <w:marRight w:val="0"/>
      <w:marTop w:val="0"/>
      <w:marBottom w:val="0"/>
      <w:divBdr>
        <w:top w:val="none" w:sz="0" w:space="0" w:color="auto"/>
        <w:left w:val="none" w:sz="0" w:space="0" w:color="auto"/>
        <w:bottom w:val="none" w:sz="0" w:space="0" w:color="auto"/>
        <w:right w:val="none" w:sz="0" w:space="0" w:color="auto"/>
      </w:divBdr>
    </w:div>
    <w:div w:id="22757796">
      <w:marLeft w:val="630"/>
      <w:marRight w:val="0"/>
      <w:marTop w:val="0"/>
      <w:marBottom w:val="150"/>
      <w:divBdr>
        <w:top w:val="none" w:sz="0" w:space="0" w:color="auto"/>
        <w:left w:val="none" w:sz="0" w:space="0" w:color="auto"/>
        <w:bottom w:val="none" w:sz="0" w:space="0" w:color="auto"/>
        <w:right w:val="none" w:sz="0" w:space="0" w:color="auto"/>
      </w:divBdr>
    </w:div>
    <w:div w:id="32047664">
      <w:marLeft w:val="0"/>
      <w:marRight w:val="0"/>
      <w:marTop w:val="0"/>
      <w:marBottom w:val="0"/>
      <w:divBdr>
        <w:top w:val="none" w:sz="0" w:space="0" w:color="auto"/>
        <w:left w:val="none" w:sz="0" w:space="0" w:color="auto"/>
        <w:bottom w:val="none" w:sz="0" w:space="0" w:color="auto"/>
        <w:right w:val="none" w:sz="0" w:space="0" w:color="auto"/>
      </w:divBdr>
    </w:div>
    <w:div w:id="57679738">
      <w:marLeft w:val="0"/>
      <w:marRight w:val="0"/>
      <w:marTop w:val="0"/>
      <w:marBottom w:val="0"/>
      <w:divBdr>
        <w:top w:val="none" w:sz="0" w:space="0" w:color="auto"/>
        <w:left w:val="none" w:sz="0" w:space="0" w:color="auto"/>
        <w:bottom w:val="none" w:sz="0" w:space="0" w:color="auto"/>
        <w:right w:val="none" w:sz="0" w:space="0" w:color="auto"/>
      </w:divBdr>
    </w:div>
    <w:div w:id="71204558">
      <w:marLeft w:val="630"/>
      <w:marRight w:val="0"/>
      <w:marTop w:val="0"/>
      <w:marBottom w:val="150"/>
      <w:divBdr>
        <w:top w:val="none" w:sz="0" w:space="0" w:color="auto"/>
        <w:left w:val="none" w:sz="0" w:space="0" w:color="auto"/>
        <w:bottom w:val="none" w:sz="0" w:space="0" w:color="auto"/>
        <w:right w:val="none" w:sz="0" w:space="0" w:color="auto"/>
      </w:divBdr>
    </w:div>
    <w:div w:id="71661084">
      <w:marLeft w:val="0"/>
      <w:marRight w:val="0"/>
      <w:marTop w:val="0"/>
      <w:marBottom w:val="0"/>
      <w:divBdr>
        <w:top w:val="none" w:sz="0" w:space="0" w:color="auto"/>
        <w:left w:val="none" w:sz="0" w:space="0" w:color="auto"/>
        <w:bottom w:val="none" w:sz="0" w:space="0" w:color="auto"/>
        <w:right w:val="none" w:sz="0" w:space="0" w:color="auto"/>
      </w:divBdr>
    </w:div>
    <w:div w:id="86271399">
      <w:marLeft w:val="0"/>
      <w:marRight w:val="0"/>
      <w:marTop w:val="0"/>
      <w:marBottom w:val="0"/>
      <w:divBdr>
        <w:top w:val="none" w:sz="0" w:space="0" w:color="auto"/>
        <w:left w:val="none" w:sz="0" w:space="0" w:color="auto"/>
        <w:bottom w:val="none" w:sz="0" w:space="0" w:color="auto"/>
        <w:right w:val="none" w:sz="0" w:space="0" w:color="auto"/>
      </w:divBdr>
    </w:div>
    <w:div w:id="90316654">
      <w:marLeft w:val="540"/>
      <w:marRight w:val="0"/>
      <w:marTop w:val="0"/>
      <w:marBottom w:val="150"/>
      <w:divBdr>
        <w:top w:val="none" w:sz="0" w:space="0" w:color="auto"/>
        <w:left w:val="none" w:sz="0" w:space="0" w:color="auto"/>
        <w:bottom w:val="none" w:sz="0" w:space="0" w:color="auto"/>
        <w:right w:val="none" w:sz="0" w:space="0" w:color="auto"/>
      </w:divBdr>
    </w:div>
    <w:div w:id="126172253">
      <w:marLeft w:val="630"/>
      <w:marRight w:val="0"/>
      <w:marTop w:val="0"/>
      <w:marBottom w:val="150"/>
      <w:divBdr>
        <w:top w:val="none" w:sz="0" w:space="0" w:color="auto"/>
        <w:left w:val="none" w:sz="0" w:space="0" w:color="auto"/>
        <w:bottom w:val="none" w:sz="0" w:space="0" w:color="auto"/>
        <w:right w:val="none" w:sz="0" w:space="0" w:color="auto"/>
      </w:divBdr>
    </w:div>
    <w:div w:id="127017739">
      <w:marLeft w:val="630"/>
      <w:marRight w:val="0"/>
      <w:marTop w:val="0"/>
      <w:marBottom w:val="150"/>
      <w:divBdr>
        <w:top w:val="none" w:sz="0" w:space="0" w:color="auto"/>
        <w:left w:val="none" w:sz="0" w:space="0" w:color="auto"/>
        <w:bottom w:val="none" w:sz="0" w:space="0" w:color="auto"/>
        <w:right w:val="none" w:sz="0" w:space="0" w:color="auto"/>
      </w:divBdr>
    </w:div>
    <w:div w:id="136991124">
      <w:marLeft w:val="0"/>
      <w:marRight w:val="0"/>
      <w:marTop w:val="0"/>
      <w:marBottom w:val="0"/>
      <w:divBdr>
        <w:top w:val="none" w:sz="0" w:space="0" w:color="auto"/>
        <w:left w:val="none" w:sz="0" w:space="0" w:color="auto"/>
        <w:bottom w:val="none" w:sz="0" w:space="0" w:color="auto"/>
        <w:right w:val="none" w:sz="0" w:space="0" w:color="auto"/>
      </w:divBdr>
    </w:div>
    <w:div w:id="144861704">
      <w:marLeft w:val="0"/>
      <w:marRight w:val="0"/>
      <w:marTop w:val="0"/>
      <w:marBottom w:val="0"/>
      <w:divBdr>
        <w:top w:val="none" w:sz="0" w:space="0" w:color="auto"/>
        <w:left w:val="none" w:sz="0" w:space="0" w:color="auto"/>
        <w:bottom w:val="none" w:sz="0" w:space="0" w:color="auto"/>
        <w:right w:val="none" w:sz="0" w:space="0" w:color="auto"/>
      </w:divBdr>
    </w:div>
    <w:div w:id="153567758">
      <w:marLeft w:val="630"/>
      <w:marRight w:val="0"/>
      <w:marTop w:val="0"/>
      <w:marBottom w:val="150"/>
      <w:divBdr>
        <w:top w:val="none" w:sz="0" w:space="0" w:color="auto"/>
        <w:left w:val="none" w:sz="0" w:space="0" w:color="auto"/>
        <w:bottom w:val="none" w:sz="0" w:space="0" w:color="auto"/>
        <w:right w:val="none" w:sz="0" w:space="0" w:color="auto"/>
      </w:divBdr>
    </w:div>
    <w:div w:id="153642468">
      <w:marLeft w:val="630"/>
      <w:marRight w:val="0"/>
      <w:marTop w:val="0"/>
      <w:marBottom w:val="150"/>
      <w:divBdr>
        <w:top w:val="none" w:sz="0" w:space="0" w:color="auto"/>
        <w:left w:val="none" w:sz="0" w:space="0" w:color="auto"/>
        <w:bottom w:val="none" w:sz="0" w:space="0" w:color="auto"/>
        <w:right w:val="none" w:sz="0" w:space="0" w:color="auto"/>
      </w:divBdr>
    </w:div>
    <w:div w:id="171381883">
      <w:bodyDiv w:val="1"/>
      <w:marLeft w:val="0"/>
      <w:marRight w:val="0"/>
      <w:marTop w:val="0"/>
      <w:marBottom w:val="0"/>
      <w:divBdr>
        <w:top w:val="none" w:sz="0" w:space="0" w:color="auto"/>
        <w:left w:val="none" w:sz="0" w:space="0" w:color="auto"/>
        <w:bottom w:val="none" w:sz="0" w:space="0" w:color="auto"/>
        <w:right w:val="none" w:sz="0" w:space="0" w:color="auto"/>
      </w:divBdr>
      <w:divsChild>
        <w:div w:id="1383139097">
          <w:marLeft w:val="0"/>
          <w:marRight w:val="0"/>
          <w:marTop w:val="0"/>
          <w:marBottom w:val="0"/>
          <w:divBdr>
            <w:top w:val="none" w:sz="0" w:space="0" w:color="auto"/>
            <w:left w:val="none" w:sz="0" w:space="0" w:color="auto"/>
            <w:bottom w:val="none" w:sz="0" w:space="0" w:color="auto"/>
            <w:right w:val="none" w:sz="0" w:space="0" w:color="auto"/>
          </w:divBdr>
        </w:div>
        <w:div w:id="1500579387">
          <w:marLeft w:val="0"/>
          <w:marRight w:val="0"/>
          <w:marTop w:val="0"/>
          <w:marBottom w:val="0"/>
          <w:divBdr>
            <w:top w:val="none" w:sz="0" w:space="0" w:color="auto"/>
            <w:left w:val="none" w:sz="0" w:space="0" w:color="auto"/>
            <w:bottom w:val="none" w:sz="0" w:space="0" w:color="auto"/>
            <w:right w:val="none" w:sz="0" w:space="0" w:color="auto"/>
          </w:divBdr>
        </w:div>
      </w:divsChild>
    </w:div>
    <w:div w:id="179008519">
      <w:marLeft w:val="0"/>
      <w:marRight w:val="0"/>
      <w:marTop w:val="0"/>
      <w:marBottom w:val="0"/>
      <w:divBdr>
        <w:top w:val="none" w:sz="0" w:space="0" w:color="auto"/>
        <w:left w:val="none" w:sz="0" w:space="0" w:color="auto"/>
        <w:bottom w:val="none" w:sz="0" w:space="0" w:color="auto"/>
        <w:right w:val="none" w:sz="0" w:space="0" w:color="auto"/>
      </w:divBdr>
    </w:div>
    <w:div w:id="179395744">
      <w:marLeft w:val="0"/>
      <w:marRight w:val="0"/>
      <w:marTop w:val="0"/>
      <w:marBottom w:val="0"/>
      <w:divBdr>
        <w:top w:val="none" w:sz="0" w:space="0" w:color="auto"/>
        <w:left w:val="none" w:sz="0" w:space="0" w:color="auto"/>
        <w:bottom w:val="none" w:sz="0" w:space="0" w:color="auto"/>
        <w:right w:val="none" w:sz="0" w:space="0" w:color="auto"/>
      </w:divBdr>
    </w:div>
    <w:div w:id="185750230">
      <w:marLeft w:val="0"/>
      <w:marRight w:val="0"/>
      <w:marTop w:val="0"/>
      <w:marBottom w:val="0"/>
      <w:divBdr>
        <w:top w:val="none" w:sz="0" w:space="0" w:color="auto"/>
        <w:left w:val="none" w:sz="0" w:space="0" w:color="auto"/>
        <w:bottom w:val="none" w:sz="0" w:space="0" w:color="auto"/>
        <w:right w:val="none" w:sz="0" w:space="0" w:color="auto"/>
      </w:divBdr>
    </w:div>
    <w:div w:id="189690907">
      <w:marLeft w:val="540"/>
      <w:marRight w:val="0"/>
      <w:marTop w:val="0"/>
      <w:marBottom w:val="0"/>
      <w:divBdr>
        <w:top w:val="none" w:sz="0" w:space="0" w:color="auto"/>
        <w:left w:val="none" w:sz="0" w:space="0" w:color="auto"/>
        <w:bottom w:val="none" w:sz="0" w:space="0" w:color="auto"/>
        <w:right w:val="none" w:sz="0" w:space="0" w:color="auto"/>
      </w:divBdr>
    </w:div>
    <w:div w:id="189954282">
      <w:marLeft w:val="0"/>
      <w:marRight w:val="0"/>
      <w:marTop w:val="0"/>
      <w:marBottom w:val="0"/>
      <w:divBdr>
        <w:top w:val="none" w:sz="0" w:space="0" w:color="auto"/>
        <w:left w:val="none" w:sz="0" w:space="0" w:color="auto"/>
        <w:bottom w:val="none" w:sz="0" w:space="0" w:color="auto"/>
        <w:right w:val="none" w:sz="0" w:space="0" w:color="auto"/>
      </w:divBdr>
    </w:div>
    <w:div w:id="204610164">
      <w:marLeft w:val="630"/>
      <w:marRight w:val="0"/>
      <w:marTop w:val="0"/>
      <w:marBottom w:val="150"/>
      <w:divBdr>
        <w:top w:val="none" w:sz="0" w:space="0" w:color="auto"/>
        <w:left w:val="none" w:sz="0" w:space="0" w:color="auto"/>
        <w:bottom w:val="none" w:sz="0" w:space="0" w:color="auto"/>
        <w:right w:val="none" w:sz="0" w:space="0" w:color="auto"/>
      </w:divBdr>
    </w:div>
    <w:div w:id="207693746">
      <w:marLeft w:val="540"/>
      <w:marRight w:val="0"/>
      <w:marTop w:val="0"/>
      <w:marBottom w:val="150"/>
      <w:divBdr>
        <w:top w:val="none" w:sz="0" w:space="0" w:color="auto"/>
        <w:left w:val="none" w:sz="0" w:space="0" w:color="auto"/>
        <w:bottom w:val="none" w:sz="0" w:space="0" w:color="auto"/>
        <w:right w:val="none" w:sz="0" w:space="0" w:color="auto"/>
      </w:divBdr>
    </w:div>
    <w:div w:id="217980961">
      <w:marLeft w:val="540"/>
      <w:marRight w:val="0"/>
      <w:marTop w:val="0"/>
      <w:marBottom w:val="150"/>
      <w:divBdr>
        <w:top w:val="none" w:sz="0" w:space="0" w:color="auto"/>
        <w:left w:val="none" w:sz="0" w:space="0" w:color="auto"/>
        <w:bottom w:val="none" w:sz="0" w:space="0" w:color="auto"/>
        <w:right w:val="none" w:sz="0" w:space="0" w:color="auto"/>
      </w:divBdr>
    </w:div>
    <w:div w:id="229538478">
      <w:marLeft w:val="0"/>
      <w:marRight w:val="0"/>
      <w:marTop w:val="0"/>
      <w:marBottom w:val="0"/>
      <w:divBdr>
        <w:top w:val="none" w:sz="0" w:space="0" w:color="auto"/>
        <w:left w:val="none" w:sz="0" w:space="0" w:color="auto"/>
        <w:bottom w:val="none" w:sz="0" w:space="0" w:color="auto"/>
        <w:right w:val="none" w:sz="0" w:space="0" w:color="auto"/>
      </w:divBdr>
    </w:div>
    <w:div w:id="230383477">
      <w:marLeft w:val="630"/>
      <w:marRight w:val="0"/>
      <w:marTop w:val="0"/>
      <w:marBottom w:val="150"/>
      <w:divBdr>
        <w:top w:val="none" w:sz="0" w:space="0" w:color="auto"/>
        <w:left w:val="none" w:sz="0" w:space="0" w:color="auto"/>
        <w:bottom w:val="none" w:sz="0" w:space="0" w:color="auto"/>
        <w:right w:val="none" w:sz="0" w:space="0" w:color="auto"/>
      </w:divBdr>
    </w:div>
    <w:div w:id="238173507">
      <w:marLeft w:val="540"/>
      <w:marRight w:val="0"/>
      <w:marTop w:val="0"/>
      <w:marBottom w:val="150"/>
      <w:divBdr>
        <w:top w:val="none" w:sz="0" w:space="0" w:color="auto"/>
        <w:left w:val="none" w:sz="0" w:space="0" w:color="auto"/>
        <w:bottom w:val="none" w:sz="0" w:space="0" w:color="auto"/>
        <w:right w:val="none" w:sz="0" w:space="0" w:color="auto"/>
      </w:divBdr>
    </w:div>
    <w:div w:id="238368125">
      <w:marLeft w:val="0"/>
      <w:marRight w:val="0"/>
      <w:marTop w:val="0"/>
      <w:marBottom w:val="0"/>
      <w:divBdr>
        <w:top w:val="none" w:sz="0" w:space="0" w:color="auto"/>
        <w:left w:val="none" w:sz="0" w:space="0" w:color="auto"/>
        <w:bottom w:val="none" w:sz="0" w:space="0" w:color="auto"/>
        <w:right w:val="none" w:sz="0" w:space="0" w:color="auto"/>
      </w:divBdr>
    </w:div>
    <w:div w:id="246696796">
      <w:marLeft w:val="0"/>
      <w:marRight w:val="0"/>
      <w:marTop w:val="0"/>
      <w:marBottom w:val="0"/>
      <w:divBdr>
        <w:top w:val="none" w:sz="0" w:space="0" w:color="auto"/>
        <w:left w:val="none" w:sz="0" w:space="0" w:color="auto"/>
        <w:bottom w:val="none" w:sz="0" w:space="0" w:color="auto"/>
        <w:right w:val="none" w:sz="0" w:space="0" w:color="auto"/>
      </w:divBdr>
    </w:div>
    <w:div w:id="258295583">
      <w:marLeft w:val="0"/>
      <w:marRight w:val="0"/>
      <w:marTop w:val="0"/>
      <w:marBottom w:val="0"/>
      <w:divBdr>
        <w:top w:val="none" w:sz="0" w:space="0" w:color="auto"/>
        <w:left w:val="none" w:sz="0" w:space="0" w:color="auto"/>
        <w:bottom w:val="none" w:sz="0" w:space="0" w:color="auto"/>
        <w:right w:val="none" w:sz="0" w:space="0" w:color="auto"/>
      </w:divBdr>
    </w:div>
    <w:div w:id="269318243">
      <w:marLeft w:val="0"/>
      <w:marRight w:val="0"/>
      <w:marTop w:val="0"/>
      <w:marBottom w:val="0"/>
      <w:divBdr>
        <w:top w:val="none" w:sz="0" w:space="0" w:color="auto"/>
        <w:left w:val="none" w:sz="0" w:space="0" w:color="auto"/>
        <w:bottom w:val="none" w:sz="0" w:space="0" w:color="auto"/>
        <w:right w:val="none" w:sz="0" w:space="0" w:color="auto"/>
      </w:divBdr>
    </w:div>
    <w:div w:id="270358307">
      <w:marLeft w:val="630"/>
      <w:marRight w:val="0"/>
      <w:marTop w:val="0"/>
      <w:marBottom w:val="150"/>
      <w:divBdr>
        <w:top w:val="none" w:sz="0" w:space="0" w:color="auto"/>
        <w:left w:val="none" w:sz="0" w:space="0" w:color="auto"/>
        <w:bottom w:val="none" w:sz="0" w:space="0" w:color="auto"/>
        <w:right w:val="none" w:sz="0" w:space="0" w:color="auto"/>
      </w:divBdr>
    </w:div>
    <w:div w:id="283777524">
      <w:marLeft w:val="540"/>
      <w:marRight w:val="0"/>
      <w:marTop w:val="0"/>
      <w:marBottom w:val="0"/>
      <w:divBdr>
        <w:top w:val="none" w:sz="0" w:space="0" w:color="auto"/>
        <w:left w:val="none" w:sz="0" w:space="0" w:color="auto"/>
        <w:bottom w:val="none" w:sz="0" w:space="0" w:color="auto"/>
        <w:right w:val="none" w:sz="0" w:space="0" w:color="auto"/>
      </w:divBdr>
    </w:div>
    <w:div w:id="301662431">
      <w:marLeft w:val="630"/>
      <w:marRight w:val="0"/>
      <w:marTop w:val="0"/>
      <w:marBottom w:val="150"/>
      <w:divBdr>
        <w:top w:val="none" w:sz="0" w:space="0" w:color="auto"/>
        <w:left w:val="none" w:sz="0" w:space="0" w:color="auto"/>
        <w:bottom w:val="none" w:sz="0" w:space="0" w:color="auto"/>
        <w:right w:val="none" w:sz="0" w:space="0" w:color="auto"/>
      </w:divBdr>
    </w:div>
    <w:div w:id="301664125">
      <w:marLeft w:val="0"/>
      <w:marRight w:val="0"/>
      <w:marTop w:val="0"/>
      <w:marBottom w:val="0"/>
      <w:divBdr>
        <w:top w:val="none" w:sz="0" w:space="0" w:color="auto"/>
        <w:left w:val="none" w:sz="0" w:space="0" w:color="auto"/>
        <w:bottom w:val="none" w:sz="0" w:space="0" w:color="auto"/>
        <w:right w:val="none" w:sz="0" w:space="0" w:color="auto"/>
      </w:divBdr>
    </w:div>
    <w:div w:id="303780900">
      <w:marLeft w:val="630"/>
      <w:marRight w:val="0"/>
      <w:marTop w:val="0"/>
      <w:marBottom w:val="150"/>
      <w:divBdr>
        <w:top w:val="none" w:sz="0" w:space="0" w:color="auto"/>
        <w:left w:val="none" w:sz="0" w:space="0" w:color="auto"/>
        <w:bottom w:val="none" w:sz="0" w:space="0" w:color="auto"/>
        <w:right w:val="none" w:sz="0" w:space="0" w:color="auto"/>
      </w:divBdr>
    </w:div>
    <w:div w:id="304313849">
      <w:marLeft w:val="0"/>
      <w:marRight w:val="0"/>
      <w:marTop w:val="0"/>
      <w:marBottom w:val="0"/>
      <w:divBdr>
        <w:top w:val="none" w:sz="0" w:space="0" w:color="auto"/>
        <w:left w:val="none" w:sz="0" w:space="0" w:color="auto"/>
        <w:bottom w:val="none" w:sz="0" w:space="0" w:color="auto"/>
        <w:right w:val="none" w:sz="0" w:space="0" w:color="auto"/>
      </w:divBdr>
    </w:div>
    <w:div w:id="314072352">
      <w:marLeft w:val="630"/>
      <w:marRight w:val="0"/>
      <w:marTop w:val="0"/>
      <w:marBottom w:val="150"/>
      <w:divBdr>
        <w:top w:val="none" w:sz="0" w:space="0" w:color="auto"/>
        <w:left w:val="none" w:sz="0" w:space="0" w:color="auto"/>
        <w:bottom w:val="none" w:sz="0" w:space="0" w:color="auto"/>
        <w:right w:val="none" w:sz="0" w:space="0" w:color="auto"/>
      </w:divBdr>
    </w:div>
    <w:div w:id="320695733">
      <w:marLeft w:val="0"/>
      <w:marRight w:val="0"/>
      <w:marTop w:val="0"/>
      <w:marBottom w:val="0"/>
      <w:divBdr>
        <w:top w:val="none" w:sz="0" w:space="0" w:color="auto"/>
        <w:left w:val="none" w:sz="0" w:space="0" w:color="auto"/>
        <w:bottom w:val="none" w:sz="0" w:space="0" w:color="auto"/>
        <w:right w:val="none" w:sz="0" w:space="0" w:color="auto"/>
      </w:divBdr>
    </w:div>
    <w:div w:id="328482259">
      <w:marLeft w:val="540"/>
      <w:marRight w:val="0"/>
      <w:marTop w:val="0"/>
      <w:marBottom w:val="0"/>
      <w:divBdr>
        <w:top w:val="none" w:sz="0" w:space="0" w:color="auto"/>
        <w:left w:val="none" w:sz="0" w:space="0" w:color="auto"/>
        <w:bottom w:val="none" w:sz="0" w:space="0" w:color="auto"/>
        <w:right w:val="none" w:sz="0" w:space="0" w:color="auto"/>
      </w:divBdr>
    </w:div>
    <w:div w:id="344283129">
      <w:marLeft w:val="540"/>
      <w:marRight w:val="0"/>
      <w:marTop w:val="0"/>
      <w:marBottom w:val="150"/>
      <w:divBdr>
        <w:top w:val="none" w:sz="0" w:space="0" w:color="auto"/>
        <w:left w:val="none" w:sz="0" w:space="0" w:color="auto"/>
        <w:bottom w:val="none" w:sz="0" w:space="0" w:color="auto"/>
        <w:right w:val="none" w:sz="0" w:space="0" w:color="auto"/>
      </w:divBdr>
    </w:div>
    <w:div w:id="345601641">
      <w:marLeft w:val="540"/>
      <w:marRight w:val="0"/>
      <w:marTop w:val="0"/>
      <w:marBottom w:val="150"/>
      <w:divBdr>
        <w:top w:val="none" w:sz="0" w:space="0" w:color="auto"/>
        <w:left w:val="none" w:sz="0" w:space="0" w:color="auto"/>
        <w:bottom w:val="none" w:sz="0" w:space="0" w:color="auto"/>
        <w:right w:val="none" w:sz="0" w:space="0" w:color="auto"/>
      </w:divBdr>
    </w:div>
    <w:div w:id="361516609">
      <w:marLeft w:val="0"/>
      <w:marRight w:val="0"/>
      <w:marTop w:val="0"/>
      <w:marBottom w:val="0"/>
      <w:divBdr>
        <w:top w:val="none" w:sz="0" w:space="0" w:color="auto"/>
        <w:left w:val="none" w:sz="0" w:space="0" w:color="auto"/>
        <w:bottom w:val="none" w:sz="0" w:space="0" w:color="auto"/>
        <w:right w:val="none" w:sz="0" w:space="0" w:color="auto"/>
      </w:divBdr>
    </w:div>
    <w:div w:id="381294389">
      <w:marLeft w:val="0"/>
      <w:marRight w:val="0"/>
      <w:marTop w:val="0"/>
      <w:marBottom w:val="0"/>
      <w:divBdr>
        <w:top w:val="none" w:sz="0" w:space="0" w:color="auto"/>
        <w:left w:val="none" w:sz="0" w:space="0" w:color="auto"/>
        <w:bottom w:val="none" w:sz="0" w:space="0" w:color="auto"/>
        <w:right w:val="none" w:sz="0" w:space="0" w:color="auto"/>
      </w:divBdr>
    </w:div>
    <w:div w:id="384842117">
      <w:marLeft w:val="0"/>
      <w:marRight w:val="0"/>
      <w:marTop w:val="0"/>
      <w:marBottom w:val="0"/>
      <w:divBdr>
        <w:top w:val="none" w:sz="0" w:space="0" w:color="auto"/>
        <w:left w:val="none" w:sz="0" w:space="0" w:color="auto"/>
        <w:bottom w:val="none" w:sz="0" w:space="0" w:color="auto"/>
        <w:right w:val="none" w:sz="0" w:space="0" w:color="auto"/>
      </w:divBdr>
    </w:div>
    <w:div w:id="413625693">
      <w:marLeft w:val="0"/>
      <w:marRight w:val="0"/>
      <w:marTop w:val="0"/>
      <w:marBottom w:val="0"/>
      <w:divBdr>
        <w:top w:val="none" w:sz="0" w:space="0" w:color="auto"/>
        <w:left w:val="none" w:sz="0" w:space="0" w:color="auto"/>
        <w:bottom w:val="none" w:sz="0" w:space="0" w:color="auto"/>
        <w:right w:val="none" w:sz="0" w:space="0" w:color="auto"/>
      </w:divBdr>
    </w:div>
    <w:div w:id="430127088">
      <w:marLeft w:val="0"/>
      <w:marRight w:val="0"/>
      <w:marTop w:val="0"/>
      <w:marBottom w:val="0"/>
      <w:divBdr>
        <w:top w:val="none" w:sz="0" w:space="0" w:color="auto"/>
        <w:left w:val="none" w:sz="0" w:space="0" w:color="auto"/>
        <w:bottom w:val="none" w:sz="0" w:space="0" w:color="auto"/>
        <w:right w:val="none" w:sz="0" w:space="0" w:color="auto"/>
      </w:divBdr>
    </w:div>
    <w:div w:id="452405584">
      <w:marLeft w:val="630"/>
      <w:marRight w:val="0"/>
      <w:marTop w:val="0"/>
      <w:marBottom w:val="150"/>
      <w:divBdr>
        <w:top w:val="none" w:sz="0" w:space="0" w:color="auto"/>
        <w:left w:val="none" w:sz="0" w:space="0" w:color="auto"/>
        <w:bottom w:val="none" w:sz="0" w:space="0" w:color="auto"/>
        <w:right w:val="none" w:sz="0" w:space="0" w:color="auto"/>
      </w:divBdr>
    </w:div>
    <w:div w:id="461465175">
      <w:marLeft w:val="0"/>
      <w:marRight w:val="0"/>
      <w:marTop w:val="0"/>
      <w:marBottom w:val="0"/>
      <w:divBdr>
        <w:top w:val="none" w:sz="0" w:space="0" w:color="auto"/>
        <w:left w:val="none" w:sz="0" w:space="0" w:color="auto"/>
        <w:bottom w:val="none" w:sz="0" w:space="0" w:color="auto"/>
        <w:right w:val="none" w:sz="0" w:space="0" w:color="auto"/>
      </w:divBdr>
    </w:div>
    <w:div w:id="465782430">
      <w:marLeft w:val="0"/>
      <w:marRight w:val="0"/>
      <w:marTop w:val="0"/>
      <w:marBottom w:val="0"/>
      <w:divBdr>
        <w:top w:val="none" w:sz="0" w:space="0" w:color="auto"/>
        <w:left w:val="none" w:sz="0" w:space="0" w:color="auto"/>
        <w:bottom w:val="none" w:sz="0" w:space="0" w:color="auto"/>
        <w:right w:val="none" w:sz="0" w:space="0" w:color="auto"/>
      </w:divBdr>
    </w:div>
    <w:div w:id="472255178">
      <w:marLeft w:val="630"/>
      <w:marRight w:val="0"/>
      <w:marTop w:val="0"/>
      <w:marBottom w:val="150"/>
      <w:divBdr>
        <w:top w:val="none" w:sz="0" w:space="0" w:color="auto"/>
        <w:left w:val="none" w:sz="0" w:space="0" w:color="auto"/>
        <w:bottom w:val="none" w:sz="0" w:space="0" w:color="auto"/>
        <w:right w:val="none" w:sz="0" w:space="0" w:color="auto"/>
      </w:divBdr>
    </w:div>
    <w:div w:id="479425993">
      <w:marLeft w:val="0"/>
      <w:marRight w:val="0"/>
      <w:marTop w:val="0"/>
      <w:marBottom w:val="0"/>
      <w:divBdr>
        <w:top w:val="none" w:sz="0" w:space="0" w:color="auto"/>
        <w:left w:val="none" w:sz="0" w:space="0" w:color="auto"/>
        <w:bottom w:val="none" w:sz="0" w:space="0" w:color="auto"/>
        <w:right w:val="none" w:sz="0" w:space="0" w:color="auto"/>
      </w:divBdr>
    </w:div>
    <w:div w:id="498467847">
      <w:marLeft w:val="0"/>
      <w:marRight w:val="0"/>
      <w:marTop w:val="0"/>
      <w:marBottom w:val="0"/>
      <w:divBdr>
        <w:top w:val="none" w:sz="0" w:space="0" w:color="auto"/>
        <w:left w:val="none" w:sz="0" w:space="0" w:color="auto"/>
        <w:bottom w:val="none" w:sz="0" w:space="0" w:color="auto"/>
        <w:right w:val="none" w:sz="0" w:space="0" w:color="auto"/>
      </w:divBdr>
    </w:div>
    <w:div w:id="521430833">
      <w:marLeft w:val="0"/>
      <w:marRight w:val="0"/>
      <w:marTop w:val="0"/>
      <w:marBottom w:val="0"/>
      <w:divBdr>
        <w:top w:val="none" w:sz="0" w:space="0" w:color="auto"/>
        <w:left w:val="none" w:sz="0" w:space="0" w:color="auto"/>
        <w:bottom w:val="none" w:sz="0" w:space="0" w:color="auto"/>
        <w:right w:val="none" w:sz="0" w:space="0" w:color="auto"/>
      </w:divBdr>
    </w:div>
    <w:div w:id="524487854">
      <w:marLeft w:val="630"/>
      <w:marRight w:val="0"/>
      <w:marTop w:val="0"/>
      <w:marBottom w:val="150"/>
      <w:divBdr>
        <w:top w:val="none" w:sz="0" w:space="0" w:color="auto"/>
        <w:left w:val="none" w:sz="0" w:space="0" w:color="auto"/>
        <w:bottom w:val="none" w:sz="0" w:space="0" w:color="auto"/>
        <w:right w:val="none" w:sz="0" w:space="0" w:color="auto"/>
      </w:divBdr>
    </w:div>
    <w:div w:id="524752745">
      <w:bodyDiv w:val="1"/>
      <w:marLeft w:val="0"/>
      <w:marRight w:val="0"/>
      <w:marTop w:val="0"/>
      <w:marBottom w:val="0"/>
      <w:divBdr>
        <w:top w:val="none" w:sz="0" w:space="0" w:color="auto"/>
        <w:left w:val="none" w:sz="0" w:space="0" w:color="auto"/>
        <w:bottom w:val="none" w:sz="0" w:space="0" w:color="auto"/>
        <w:right w:val="none" w:sz="0" w:space="0" w:color="auto"/>
      </w:divBdr>
    </w:div>
    <w:div w:id="530150090">
      <w:marLeft w:val="0"/>
      <w:marRight w:val="0"/>
      <w:marTop w:val="0"/>
      <w:marBottom w:val="0"/>
      <w:divBdr>
        <w:top w:val="none" w:sz="0" w:space="0" w:color="auto"/>
        <w:left w:val="none" w:sz="0" w:space="0" w:color="auto"/>
        <w:bottom w:val="none" w:sz="0" w:space="0" w:color="auto"/>
        <w:right w:val="none" w:sz="0" w:space="0" w:color="auto"/>
      </w:divBdr>
    </w:div>
    <w:div w:id="536818050">
      <w:marLeft w:val="0"/>
      <w:marRight w:val="0"/>
      <w:marTop w:val="0"/>
      <w:marBottom w:val="0"/>
      <w:divBdr>
        <w:top w:val="none" w:sz="0" w:space="0" w:color="auto"/>
        <w:left w:val="none" w:sz="0" w:space="0" w:color="auto"/>
        <w:bottom w:val="none" w:sz="0" w:space="0" w:color="auto"/>
        <w:right w:val="none" w:sz="0" w:space="0" w:color="auto"/>
      </w:divBdr>
    </w:div>
    <w:div w:id="540635872">
      <w:marLeft w:val="630"/>
      <w:marRight w:val="0"/>
      <w:marTop w:val="0"/>
      <w:marBottom w:val="150"/>
      <w:divBdr>
        <w:top w:val="none" w:sz="0" w:space="0" w:color="auto"/>
        <w:left w:val="none" w:sz="0" w:space="0" w:color="auto"/>
        <w:bottom w:val="none" w:sz="0" w:space="0" w:color="auto"/>
        <w:right w:val="none" w:sz="0" w:space="0" w:color="auto"/>
      </w:divBdr>
    </w:div>
    <w:div w:id="548421858">
      <w:marLeft w:val="0"/>
      <w:marRight w:val="0"/>
      <w:marTop w:val="0"/>
      <w:marBottom w:val="0"/>
      <w:divBdr>
        <w:top w:val="none" w:sz="0" w:space="0" w:color="auto"/>
        <w:left w:val="none" w:sz="0" w:space="0" w:color="auto"/>
        <w:bottom w:val="none" w:sz="0" w:space="0" w:color="auto"/>
        <w:right w:val="none" w:sz="0" w:space="0" w:color="auto"/>
      </w:divBdr>
    </w:div>
    <w:div w:id="553539530">
      <w:marLeft w:val="0"/>
      <w:marRight w:val="0"/>
      <w:marTop w:val="0"/>
      <w:marBottom w:val="0"/>
      <w:divBdr>
        <w:top w:val="none" w:sz="0" w:space="0" w:color="auto"/>
        <w:left w:val="none" w:sz="0" w:space="0" w:color="auto"/>
        <w:bottom w:val="none" w:sz="0" w:space="0" w:color="auto"/>
        <w:right w:val="none" w:sz="0" w:space="0" w:color="auto"/>
      </w:divBdr>
    </w:div>
    <w:div w:id="555318184">
      <w:marLeft w:val="0"/>
      <w:marRight w:val="0"/>
      <w:marTop w:val="0"/>
      <w:marBottom w:val="0"/>
      <w:divBdr>
        <w:top w:val="none" w:sz="0" w:space="0" w:color="auto"/>
        <w:left w:val="none" w:sz="0" w:space="0" w:color="auto"/>
        <w:bottom w:val="none" w:sz="0" w:space="0" w:color="auto"/>
        <w:right w:val="none" w:sz="0" w:space="0" w:color="auto"/>
      </w:divBdr>
    </w:div>
    <w:div w:id="558130796">
      <w:marLeft w:val="540"/>
      <w:marRight w:val="0"/>
      <w:marTop w:val="0"/>
      <w:marBottom w:val="150"/>
      <w:divBdr>
        <w:top w:val="none" w:sz="0" w:space="0" w:color="auto"/>
        <w:left w:val="none" w:sz="0" w:space="0" w:color="auto"/>
        <w:bottom w:val="none" w:sz="0" w:space="0" w:color="auto"/>
        <w:right w:val="none" w:sz="0" w:space="0" w:color="auto"/>
      </w:divBdr>
    </w:div>
    <w:div w:id="577179524">
      <w:marLeft w:val="0"/>
      <w:marRight w:val="0"/>
      <w:marTop w:val="0"/>
      <w:marBottom w:val="0"/>
      <w:divBdr>
        <w:top w:val="none" w:sz="0" w:space="0" w:color="auto"/>
        <w:left w:val="none" w:sz="0" w:space="0" w:color="auto"/>
        <w:bottom w:val="none" w:sz="0" w:space="0" w:color="auto"/>
        <w:right w:val="none" w:sz="0" w:space="0" w:color="auto"/>
      </w:divBdr>
    </w:div>
    <w:div w:id="579557329">
      <w:marLeft w:val="0"/>
      <w:marRight w:val="0"/>
      <w:marTop w:val="0"/>
      <w:marBottom w:val="0"/>
      <w:divBdr>
        <w:top w:val="none" w:sz="0" w:space="0" w:color="auto"/>
        <w:left w:val="none" w:sz="0" w:space="0" w:color="auto"/>
        <w:bottom w:val="none" w:sz="0" w:space="0" w:color="auto"/>
        <w:right w:val="none" w:sz="0" w:space="0" w:color="auto"/>
      </w:divBdr>
    </w:div>
    <w:div w:id="593786150">
      <w:marLeft w:val="630"/>
      <w:marRight w:val="0"/>
      <w:marTop w:val="0"/>
      <w:marBottom w:val="150"/>
      <w:divBdr>
        <w:top w:val="none" w:sz="0" w:space="0" w:color="auto"/>
        <w:left w:val="none" w:sz="0" w:space="0" w:color="auto"/>
        <w:bottom w:val="none" w:sz="0" w:space="0" w:color="auto"/>
        <w:right w:val="none" w:sz="0" w:space="0" w:color="auto"/>
      </w:divBdr>
    </w:div>
    <w:div w:id="614605078">
      <w:marLeft w:val="0"/>
      <w:marRight w:val="0"/>
      <w:marTop w:val="0"/>
      <w:marBottom w:val="0"/>
      <w:divBdr>
        <w:top w:val="none" w:sz="0" w:space="0" w:color="auto"/>
        <w:left w:val="none" w:sz="0" w:space="0" w:color="auto"/>
        <w:bottom w:val="none" w:sz="0" w:space="0" w:color="auto"/>
        <w:right w:val="none" w:sz="0" w:space="0" w:color="auto"/>
      </w:divBdr>
    </w:div>
    <w:div w:id="619648844">
      <w:marLeft w:val="0"/>
      <w:marRight w:val="0"/>
      <w:marTop w:val="0"/>
      <w:marBottom w:val="0"/>
      <w:divBdr>
        <w:top w:val="none" w:sz="0" w:space="0" w:color="auto"/>
        <w:left w:val="none" w:sz="0" w:space="0" w:color="auto"/>
        <w:bottom w:val="none" w:sz="0" w:space="0" w:color="auto"/>
        <w:right w:val="none" w:sz="0" w:space="0" w:color="auto"/>
      </w:divBdr>
    </w:div>
    <w:div w:id="622545011">
      <w:marLeft w:val="630"/>
      <w:marRight w:val="0"/>
      <w:marTop w:val="0"/>
      <w:marBottom w:val="150"/>
      <w:divBdr>
        <w:top w:val="none" w:sz="0" w:space="0" w:color="auto"/>
        <w:left w:val="none" w:sz="0" w:space="0" w:color="auto"/>
        <w:bottom w:val="none" w:sz="0" w:space="0" w:color="auto"/>
        <w:right w:val="none" w:sz="0" w:space="0" w:color="auto"/>
      </w:divBdr>
    </w:div>
    <w:div w:id="636497074">
      <w:marLeft w:val="540"/>
      <w:marRight w:val="0"/>
      <w:marTop w:val="0"/>
      <w:marBottom w:val="150"/>
      <w:divBdr>
        <w:top w:val="none" w:sz="0" w:space="0" w:color="auto"/>
        <w:left w:val="none" w:sz="0" w:space="0" w:color="auto"/>
        <w:bottom w:val="none" w:sz="0" w:space="0" w:color="auto"/>
        <w:right w:val="none" w:sz="0" w:space="0" w:color="auto"/>
      </w:divBdr>
    </w:div>
    <w:div w:id="653484126">
      <w:marLeft w:val="0"/>
      <w:marRight w:val="0"/>
      <w:marTop w:val="0"/>
      <w:marBottom w:val="0"/>
      <w:divBdr>
        <w:top w:val="none" w:sz="0" w:space="0" w:color="auto"/>
        <w:left w:val="none" w:sz="0" w:space="0" w:color="auto"/>
        <w:bottom w:val="none" w:sz="0" w:space="0" w:color="auto"/>
        <w:right w:val="none" w:sz="0" w:space="0" w:color="auto"/>
      </w:divBdr>
    </w:div>
    <w:div w:id="654601895">
      <w:marLeft w:val="540"/>
      <w:marRight w:val="0"/>
      <w:marTop w:val="0"/>
      <w:marBottom w:val="150"/>
      <w:divBdr>
        <w:top w:val="none" w:sz="0" w:space="0" w:color="auto"/>
        <w:left w:val="none" w:sz="0" w:space="0" w:color="auto"/>
        <w:bottom w:val="none" w:sz="0" w:space="0" w:color="auto"/>
        <w:right w:val="none" w:sz="0" w:space="0" w:color="auto"/>
      </w:divBdr>
    </w:div>
    <w:div w:id="661003545">
      <w:marLeft w:val="630"/>
      <w:marRight w:val="0"/>
      <w:marTop w:val="0"/>
      <w:marBottom w:val="150"/>
      <w:divBdr>
        <w:top w:val="none" w:sz="0" w:space="0" w:color="auto"/>
        <w:left w:val="none" w:sz="0" w:space="0" w:color="auto"/>
        <w:bottom w:val="none" w:sz="0" w:space="0" w:color="auto"/>
        <w:right w:val="none" w:sz="0" w:space="0" w:color="auto"/>
      </w:divBdr>
    </w:div>
    <w:div w:id="670179748">
      <w:marLeft w:val="0"/>
      <w:marRight w:val="0"/>
      <w:marTop w:val="0"/>
      <w:marBottom w:val="0"/>
      <w:divBdr>
        <w:top w:val="none" w:sz="0" w:space="0" w:color="auto"/>
        <w:left w:val="none" w:sz="0" w:space="0" w:color="auto"/>
        <w:bottom w:val="none" w:sz="0" w:space="0" w:color="auto"/>
        <w:right w:val="none" w:sz="0" w:space="0" w:color="auto"/>
      </w:divBdr>
    </w:div>
    <w:div w:id="672345039">
      <w:bodyDiv w:val="1"/>
      <w:marLeft w:val="0"/>
      <w:marRight w:val="0"/>
      <w:marTop w:val="0"/>
      <w:marBottom w:val="0"/>
      <w:divBdr>
        <w:top w:val="none" w:sz="0" w:space="0" w:color="auto"/>
        <w:left w:val="none" w:sz="0" w:space="0" w:color="auto"/>
        <w:bottom w:val="none" w:sz="0" w:space="0" w:color="auto"/>
        <w:right w:val="none" w:sz="0" w:space="0" w:color="auto"/>
      </w:divBdr>
      <w:divsChild>
        <w:div w:id="739296">
          <w:marLeft w:val="0"/>
          <w:marRight w:val="0"/>
          <w:marTop w:val="0"/>
          <w:marBottom w:val="0"/>
          <w:divBdr>
            <w:top w:val="none" w:sz="0" w:space="0" w:color="auto"/>
            <w:left w:val="none" w:sz="0" w:space="0" w:color="auto"/>
            <w:bottom w:val="none" w:sz="0" w:space="0" w:color="auto"/>
            <w:right w:val="none" w:sz="0" w:space="0" w:color="auto"/>
          </w:divBdr>
        </w:div>
      </w:divsChild>
    </w:div>
    <w:div w:id="682241335">
      <w:marLeft w:val="0"/>
      <w:marRight w:val="0"/>
      <w:marTop w:val="0"/>
      <w:marBottom w:val="0"/>
      <w:divBdr>
        <w:top w:val="none" w:sz="0" w:space="0" w:color="auto"/>
        <w:left w:val="none" w:sz="0" w:space="0" w:color="auto"/>
        <w:bottom w:val="none" w:sz="0" w:space="0" w:color="auto"/>
        <w:right w:val="none" w:sz="0" w:space="0" w:color="auto"/>
      </w:divBdr>
    </w:div>
    <w:div w:id="688415047">
      <w:marLeft w:val="0"/>
      <w:marRight w:val="0"/>
      <w:marTop w:val="0"/>
      <w:marBottom w:val="0"/>
      <w:divBdr>
        <w:top w:val="none" w:sz="0" w:space="0" w:color="auto"/>
        <w:left w:val="none" w:sz="0" w:space="0" w:color="auto"/>
        <w:bottom w:val="none" w:sz="0" w:space="0" w:color="auto"/>
        <w:right w:val="none" w:sz="0" w:space="0" w:color="auto"/>
      </w:divBdr>
    </w:div>
    <w:div w:id="699940731">
      <w:marLeft w:val="0"/>
      <w:marRight w:val="0"/>
      <w:marTop w:val="0"/>
      <w:marBottom w:val="0"/>
      <w:divBdr>
        <w:top w:val="none" w:sz="0" w:space="0" w:color="auto"/>
        <w:left w:val="none" w:sz="0" w:space="0" w:color="auto"/>
        <w:bottom w:val="none" w:sz="0" w:space="0" w:color="auto"/>
        <w:right w:val="none" w:sz="0" w:space="0" w:color="auto"/>
      </w:divBdr>
    </w:div>
    <w:div w:id="705302118">
      <w:marLeft w:val="0"/>
      <w:marRight w:val="0"/>
      <w:marTop w:val="0"/>
      <w:marBottom w:val="0"/>
      <w:divBdr>
        <w:top w:val="none" w:sz="0" w:space="0" w:color="auto"/>
        <w:left w:val="none" w:sz="0" w:space="0" w:color="auto"/>
        <w:bottom w:val="none" w:sz="0" w:space="0" w:color="auto"/>
        <w:right w:val="none" w:sz="0" w:space="0" w:color="auto"/>
      </w:divBdr>
    </w:div>
    <w:div w:id="710572427">
      <w:marLeft w:val="0"/>
      <w:marRight w:val="0"/>
      <w:marTop w:val="0"/>
      <w:marBottom w:val="0"/>
      <w:divBdr>
        <w:top w:val="none" w:sz="0" w:space="0" w:color="auto"/>
        <w:left w:val="none" w:sz="0" w:space="0" w:color="auto"/>
        <w:bottom w:val="none" w:sz="0" w:space="0" w:color="auto"/>
        <w:right w:val="none" w:sz="0" w:space="0" w:color="auto"/>
      </w:divBdr>
    </w:div>
    <w:div w:id="712735093">
      <w:marLeft w:val="0"/>
      <w:marRight w:val="0"/>
      <w:marTop w:val="0"/>
      <w:marBottom w:val="0"/>
      <w:divBdr>
        <w:top w:val="none" w:sz="0" w:space="0" w:color="auto"/>
        <w:left w:val="none" w:sz="0" w:space="0" w:color="auto"/>
        <w:bottom w:val="none" w:sz="0" w:space="0" w:color="auto"/>
        <w:right w:val="none" w:sz="0" w:space="0" w:color="auto"/>
      </w:divBdr>
    </w:div>
    <w:div w:id="726222779">
      <w:marLeft w:val="0"/>
      <w:marRight w:val="0"/>
      <w:marTop w:val="0"/>
      <w:marBottom w:val="0"/>
      <w:divBdr>
        <w:top w:val="none" w:sz="0" w:space="0" w:color="auto"/>
        <w:left w:val="none" w:sz="0" w:space="0" w:color="auto"/>
        <w:bottom w:val="none" w:sz="0" w:space="0" w:color="auto"/>
        <w:right w:val="none" w:sz="0" w:space="0" w:color="auto"/>
      </w:divBdr>
    </w:div>
    <w:div w:id="753093987">
      <w:marLeft w:val="0"/>
      <w:marRight w:val="0"/>
      <w:marTop w:val="0"/>
      <w:marBottom w:val="0"/>
      <w:divBdr>
        <w:top w:val="none" w:sz="0" w:space="0" w:color="auto"/>
        <w:left w:val="none" w:sz="0" w:space="0" w:color="auto"/>
        <w:bottom w:val="none" w:sz="0" w:space="0" w:color="auto"/>
        <w:right w:val="none" w:sz="0" w:space="0" w:color="auto"/>
      </w:divBdr>
    </w:div>
    <w:div w:id="754326056">
      <w:marLeft w:val="630"/>
      <w:marRight w:val="0"/>
      <w:marTop w:val="0"/>
      <w:marBottom w:val="150"/>
      <w:divBdr>
        <w:top w:val="none" w:sz="0" w:space="0" w:color="auto"/>
        <w:left w:val="none" w:sz="0" w:space="0" w:color="auto"/>
        <w:bottom w:val="none" w:sz="0" w:space="0" w:color="auto"/>
        <w:right w:val="none" w:sz="0" w:space="0" w:color="auto"/>
      </w:divBdr>
    </w:div>
    <w:div w:id="757873962">
      <w:marLeft w:val="0"/>
      <w:marRight w:val="0"/>
      <w:marTop w:val="0"/>
      <w:marBottom w:val="0"/>
      <w:divBdr>
        <w:top w:val="none" w:sz="0" w:space="0" w:color="auto"/>
        <w:left w:val="none" w:sz="0" w:space="0" w:color="auto"/>
        <w:bottom w:val="none" w:sz="0" w:space="0" w:color="auto"/>
        <w:right w:val="none" w:sz="0" w:space="0" w:color="auto"/>
      </w:divBdr>
    </w:div>
    <w:div w:id="763920383">
      <w:marLeft w:val="0"/>
      <w:marRight w:val="0"/>
      <w:marTop w:val="0"/>
      <w:marBottom w:val="0"/>
      <w:divBdr>
        <w:top w:val="none" w:sz="0" w:space="0" w:color="auto"/>
        <w:left w:val="none" w:sz="0" w:space="0" w:color="auto"/>
        <w:bottom w:val="none" w:sz="0" w:space="0" w:color="auto"/>
        <w:right w:val="none" w:sz="0" w:space="0" w:color="auto"/>
      </w:divBdr>
    </w:div>
    <w:div w:id="764960690">
      <w:marLeft w:val="630"/>
      <w:marRight w:val="0"/>
      <w:marTop w:val="0"/>
      <w:marBottom w:val="150"/>
      <w:divBdr>
        <w:top w:val="none" w:sz="0" w:space="0" w:color="auto"/>
        <w:left w:val="none" w:sz="0" w:space="0" w:color="auto"/>
        <w:bottom w:val="none" w:sz="0" w:space="0" w:color="auto"/>
        <w:right w:val="none" w:sz="0" w:space="0" w:color="auto"/>
      </w:divBdr>
    </w:div>
    <w:div w:id="770509154">
      <w:marLeft w:val="630"/>
      <w:marRight w:val="0"/>
      <w:marTop w:val="0"/>
      <w:marBottom w:val="150"/>
      <w:divBdr>
        <w:top w:val="none" w:sz="0" w:space="0" w:color="auto"/>
        <w:left w:val="none" w:sz="0" w:space="0" w:color="auto"/>
        <w:bottom w:val="none" w:sz="0" w:space="0" w:color="auto"/>
        <w:right w:val="none" w:sz="0" w:space="0" w:color="auto"/>
      </w:divBdr>
    </w:div>
    <w:div w:id="792678460">
      <w:marLeft w:val="585"/>
      <w:marRight w:val="0"/>
      <w:marTop w:val="30"/>
      <w:marBottom w:val="0"/>
      <w:divBdr>
        <w:top w:val="none" w:sz="0" w:space="0" w:color="auto"/>
        <w:left w:val="none" w:sz="0" w:space="0" w:color="auto"/>
        <w:bottom w:val="none" w:sz="0" w:space="0" w:color="auto"/>
        <w:right w:val="none" w:sz="0" w:space="0" w:color="auto"/>
      </w:divBdr>
    </w:div>
    <w:div w:id="800615400">
      <w:marLeft w:val="0"/>
      <w:marRight w:val="0"/>
      <w:marTop w:val="0"/>
      <w:marBottom w:val="0"/>
      <w:divBdr>
        <w:top w:val="none" w:sz="0" w:space="0" w:color="auto"/>
        <w:left w:val="none" w:sz="0" w:space="0" w:color="auto"/>
        <w:bottom w:val="none" w:sz="0" w:space="0" w:color="auto"/>
        <w:right w:val="none" w:sz="0" w:space="0" w:color="auto"/>
      </w:divBdr>
    </w:div>
    <w:div w:id="817112162">
      <w:marLeft w:val="630"/>
      <w:marRight w:val="0"/>
      <w:marTop w:val="0"/>
      <w:marBottom w:val="150"/>
      <w:divBdr>
        <w:top w:val="none" w:sz="0" w:space="0" w:color="auto"/>
        <w:left w:val="none" w:sz="0" w:space="0" w:color="auto"/>
        <w:bottom w:val="none" w:sz="0" w:space="0" w:color="auto"/>
        <w:right w:val="none" w:sz="0" w:space="0" w:color="auto"/>
      </w:divBdr>
    </w:div>
    <w:div w:id="819347004">
      <w:marLeft w:val="540"/>
      <w:marRight w:val="0"/>
      <w:marTop w:val="0"/>
      <w:marBottom w:val="150"/>
      <w:divBdr>
        <w:top w:val="none" w:sz="0" w:space="0" w:color="auto"/>
        <w:left w:val="none" w:sz="0" w:space="0" w:color="auto"/>
        <w:bottom w:val="none" w:sz="0" w:space="0" w:color="auto"/>
        <w:right w:val="none" w:sz="0" w:space="0" w:color="auto"/>
      </w:divBdr>
    </w:div>
    <w:div w:id="823277326">
      <w:marLeft w:val="0"/>
      <w:marRight w:val="0"/>
      <w:marTop w:val="0"/>
      <w:marBottom w:val="0"/>
      <w:divBdr>
        <w:top w:val="none" w:sz="0" w:space="0" w:color="auto"/>
        <w:left w:val="none" w:sz="0" w:space="0" w:color="auto"/>
        <w:bottom w:val="none" w:sz="0" w:space="0" w:color="auto"/>
        <w:right w:val="none" w:sz="0" w:space="0" w:color="auto"/>
      </w:divBdr>
    </w:div>
    <w:div w:id="825628661">
      <w:marLeft w:val="0"/>
      <w:marRight w:val="0"/>
      <w:marTop w:val="0"/>
      <w:marBottom w:val="0"/>
      <w:divBdr>
        <w:top w:val="none" w:sz="0" w:space="0" w:color="auto"/>
        <w:left w:val="none" w:sz="0" w:space="0" w:color="auto"/>
        <w:bottom w:val="none" w:sz="0" w:space="0" w:color="auto"/>
        <w:right w:val="none" w:sz="0" w:space="0" w:color="auto"/>
      </w:divBdr>
    </w:div>
    <w:div w:id="830415169">
      <w:marLeft w:val="630"/>
      <w:marRight w:val="0"/>
      <w:marTop w:val="0"/>
      <w:marBottom w:val="150"/>
      <w:divBdr>
        <w:top w:val="none" w:sz="0" w:space="0" w:color="auto"/>
        <w:left w:val="none" w:sz="0" w:space="0" w:color="auto"/>
        <w:bottom w:val="none" w:sz="0" w:space="0" w:color="auto"/>
        <w:right w:val="none" w:sz="0" w:space="0" w:color="auto"/>
      </w:divBdr>
    </w:div>
    <w:div w:id="831919922">
      <w:marLeft w:val="0"/>
      <w:marRight w:val="0"/>
      <w:marTop w:val="0"/>
      <w:marBottom w:val="0"/>
      <w:divBdr>
        <w:top w:val="none" w:sz="0" w:space="0" w:color="auto"/>
        <w:left w:val="none" w:sz="0" w:space="0" w:color="auto"/>
        <w:bottom w:val="none" w:sz="0" w:space="0" w:color="auto"/>
        <w:right w:val="none" w:sz="0" w:space="0" w:color="auto"/>
      </w:divBdr>
    </w:div>
    <w:div w:id="838232527">
      <w:marLeft w:val="0"/>
      <w:marRight w:val="0"/>
      <w:marTop w:val="0"/>
      <w:marBottom w:val="0"/>
      <w:divBdr>
        <w:top w:val="none" w:sz="0" w:space="0" w:color="auto"/>
        <w:left w:val="none" w:sz="0" w:space="0" w:color="auto"/>
        <w:bottom w:val="none" w:sz="0" w:space="0" w:color="auto"/>
        <w:right w:val="none" w:sz="0" w:space="0" w:color="auto"/>
      </w:divBdr>
    </w:div>
    <w:div w:id="846023766">
      <w:marLeft w:val="630"/>
      <w:marRight w:val="0"/>
      <w:marTop w:val="0"/>
      <w:marBottom w:val="150"/>
      <w:divBdr>
        <w:top w:val="none" w:sz="0" w:space="0" w:color="auto"/>
        <w:left w:val="none" w:sz="0" w:space="0" w:color="auto"/>
        <w:bottom w:val="none" w:sz="0" w:space="0" w:color="auto"/>
        <w:right w:val="none" w:sz="0" w:space="0" w:color="auto"/>
      </w:divBdr>
    </w:div>
    <w:div w:id="849413121">
      <w:marLeft w:val="0"/>
      <w:marRight w:val="0"/>
      <w:marTop w:val="0"/>
      <w:marBottom w:val="0"/>
      <w:divBdr>
        <w:top w:val="none" w:sz="0" w:space="0" w:color="auto"/>
        <w:left w:val="none" w:sz="0" w:space="0" w:color="auto"/>
        <w:bottom w:val="none" w:sz="0" w:space="0" w:color="auto"/>
        <w:right w:val="none" w:sz="0" w:space="0" w:color="auto"/>
      </w:divBdr>
    </w:div>
    <w:div w:id="853570116">
      <w:marLeft w:val="1245"/>
      <w:marRight w:val="0"/>
      <w:marTop w:val="0"/>
      <w:marBottom w:val="0"/>
      <w:divBdr>
        <w:top w:val="none" w:sz="0" w:space="0" w:color="auto"/>
        <w:left w:val="none" w:sz="0" w:space="0" w:color="auto"/>
        <w:bottom w:val="none" w:sz="0" w:space="0" w:color="auto"/>
        <w:right w:val="none" w:sz="0" w:space="0" w:color="auto"/>
      </w:divBdr>
    </w:div>
    <w:div w:id="853805299">
      <w:marLeft w:val="0"/>
      <w:marRight w:val="0"/>
      <w:marTop w:val="0"/>
      <w:marBottom w:val="0"/>
      <w:divBdr>
        <w:top w:val="none" w:sz="0" w:space="0" w:color="auto"/>
        <w:left w:val="none" w:sz="0" w:space="0" w:color="auto"/>
        <w:bottom w:val="none" w:sz="0" w:space="0" w:color="auto"/>
        <w:right w:val="none" w:sz="0" w:space="0" w:color="auto"/>
      </w:divBdr>
    </w:div>
    <w:div w:id="857423470">
      <w:marLeft w:val="540"/>
      <w:marRight w:val="0"/>
      <w:marTop w:val="0"/>
      <w:marBottom w:val="0"/>
      <w:divBdr>
        <w:top w:val="none" w:sz="0" w:space="0" w:color="auto"/>
        <w:left w:val="none" w:sz="0" w:space="0" w:color="auto"/>
        <w:bottom w:val="none" w:sz="0" w:space="0" w:color="auto"/>
        <w:right w:val="none" w:sz="0" w:space="0" w:color="auto"/>
      </w:divBdr>
    </w:div>
    <w:div w:id="862598329">
      <w:marLeft w:val="1245"/>
      <w:marRight w:val="0"/>
      <w:marTop w:val="0"/>
      <w:marBottom w:val="0"/>
      <w:divBdr>
        <w:top w:val="none" w:sz="0" w:space="0" w:color="auto"/>
        <w:left w:val="none" w:sz="0" w:space="0" w:color="auto"/>
        <w:bottom w:val="none" w:sz="0" w:space="0" w:color="auto"/>
        <w:right w:val="none" w:sz="0" w:space="0" w:color="auto"/>
      </w:divBdr>
    </w:div>
    <w:div w:id="865144979">
      <w:marLeft w:val="630"/>
      <w:marRight w:val="0"/>
      <w:marTop w:val="0"/>
      <w:marBottom w:val="150"/>
      <w:divBdr>
        <w:top w:val="none" w:sz="0" w:space="0" w:color="auto"/>
        <w:left w:val="none" w:sz="0" w:space="0" w:color="auto"/>
        <w:bottom w:val="none" w:sz="0" w:space="0" w:color="auto"/>
        <w:right w:val="none" w:sz="0" w:space="0" w:color="auto"/>
      </w:divBdr>
    </w:div>
    <w:div w:id="898440642">
      <w:marLeft w:val="630"/>
      <w:marRight w:val="0"/>
      <w:marTop w:val="0"/>
      <w:marBottom w:val="150"/>
      <w:divBdr>
        <w:top w:val="none" w:sz="0" w:space="0" w:color="auto"/>
        <w:left w:val="none" w:sz="0" w:space="0" w:color="auto"/>
        <w:bottom w:val="none" w:sz="0" w:space="0" w:color="auto"/>
        <w:right w:val="none" w:sz="0" w:space="0" w:color="auto"/>
      </w:divBdr>
    </w:div>
    <w:div w:id="901913409">
      <w:marLeft w:val="630"/>
      <w:marRight w:val="0"/>
      <w:marTop w:val="0"/>
      <w:marBottom w:val="150"/>
      <w:divBdr>
        <w:top w:val="none" w:sz="0" w:space="0" w:color="auto"/>
        <w:left w:val="none" w:sz="0" w:space="0" w:color="auto"/>
        <w:bottom w:val="none" w:sz="0" w:space="0" w:color="auto"/>
        <w:right w:val="none" w:sz="0" w:space="0" w:color="auto"/>
      </w:divBdr>
    </w:div>
    <w:div w:id="911697068">
      <w:marLeft w:val="630"/>
      <w:marRight w:val="0"/>
      <w:marTop w:val="0"/>
      <w:marBottom w:val="150"/>
      <w:divBdr>
        <w:top w:val="none" w:sz="0" w:space="0" w:color="auto"/>
        <w:left w:val="none" w:sz="0" w:space="0" w:color="auto"/>
        <w:bottom w:val="none" w:sz="0" w:space="0" w:color="auto"/>
        <w:right w:val="none" w:sz="0" w:space="0" w:color="auto"/>
      </w:divBdr>
    </w:div>
    <w:div w:id="928082467">
      <w:marLeft w:val="630"/>
      <w:marRight w:val="0"/>
      <w:marTop w:val="0"/>
      <w:marBottom w:val="150"/>
      <w:divBdr>
        <w:top w:val="none" w:sz="0" w:space="0" w:color="auto"/>
        <w:left w:val="none" w:sz="0" w:space="0" w:color="auto"/>
        <w:bottom w:val="none" w:sz="0" w:space="0" w:color="auto"/>
        <w:right w:val="none" w:sz="0" w:space="0" w:color="auto"/>
      </w:divBdr>
    </w:div>
    <w:div w:id="930813523">
      <w:marLeft w:val="0"/>
      <w:marRight w:val="0"/>
      <w:marTop w:val="0"/>
      <w:marBottom w:val="0"/>
      <w:divBdr>
        <w:top w:val="none" w:sz="0" w:space="0" w:color="auto"/>
        <w:left w:val="none" w:sz="0" w:space="0" w:color="auto"/>
        <w:bottom w:val="none" w:sz="0" w:space="0" w:color="auto"/>
        <w:right w:val="none" w:sz="0" w:space="0" w:color="auto"/>
      </w:divBdr>
    </w:div>
    <w:div w:id="935938568">
      <w:marLeft w:val="0"/>
      <w:marRight w:val="0"/>
      <w:marTop w:val="0"/>
      <w:marBottom w:val="0"/>
      <w:divBdr>
        <w:top w:val="none" w:sz="0" w:space="0" w:color="auto"/>
        <w:left w:val="none" w:sz="0" w:space="0" w:color="auto"/>
        <w:bottom w:val="none" w:sz="0" w:space="0" w:color="auto"/>
        <w:right w:val="none" w:sz="0" w:space="0" w:color="auto"/>
      </w:divBdr>
    </w:div>
    <w:div w:id="937100973">
      <w:marLeft w:val="0"/>
      <w:marRight w:val="0"/>
      <w:marTop w:val="0"/>
      <w:marBottom w:val="0"/>
      <w:divBdr>
        <w:top w:val="none" w:sz="0" w:space="0" w:color="auto"/>
        <w:left w:val="none" w:sz="0" w:space="0" w:color="auto"/>
        <w:bottom w:val="none" w:sz="0" w:space="0" w:color="auto"/>
        <w:right w:val="none" w:sz="0" w:space="0" w:color="auto"/>
      </w:divBdr>
    </w:div>
    <w:div w:id="950667156">
      <w:marLeft w:val="0"/>
      <w:marRight w:val="-420"/>
      <w:marTop w:val="0"/>
      <w:marBottom w:val="0"/>
      <w:divBdr>
        <w:top w:val="none" w:sz="0" w:space="0" w:color="auto"/>
        <w:left w:val="none" w:sz="0" w:space="0" w:color="auto"/>
        <w:bottom w:val="none" w:sz="0" w:space="0" w:color="auto"/>
        <w:right w:val="none" w:sz="0" w:space="0" w:color="auto"/>
      </w:divBdr>
      <w:divsChild>
        <w:div w:id="362637704">
          <w:marLeft w:val="0"/>
          <w:marRight w:val="0"/>
          <w:marTop w:val="0"/>
          <w:marBottom w:val="0"/>
          <w:divBdr>
            <w:top w:val="none" w:sz="0" w:space="0" w:color="auto"/>
            <w:left w:val="none" w:sz="0" w:space="0" w:color="auto"/>
            <w:bottom w:val="none" w:sz="0" w:space="0" w:color="auto"/>
            <w:right w:val="none" w:sz="0" w:space="0" w:color="auto"/>
          </w:divBdr>
        </w:div>
      </w:divsChild>
    </w:div>
    <w:div w:id="974992226">
      <w:marLeft w:val="0"/>
      <w:marRight w:val="0"/>
      <w:marTop w:val="0"/>
      <w:marBottom w:val="0"/>
      <w:divBdr>
        <w:top w:val="none" w:sz="0" w:space="0" w:color="auto"/>
        <w:left w:val="none" w:sz="0" w:space="0" w:color="auto"/>
        <w:bottom w:val="none" w:sz="0" w:space="0" w:color="auto"/>
        <w:right w:val="none" w:sz="0" w:space="0" w:color="auto"/>
      </w:divBdr>
    </w:div>
    <w:div w:id="976642340">
      <w:marLeft w:val="540"/>
      <w:marRight w:val="0"/>
      <w:marTop w:val="0"/>
      <w:marBottom w:val="150"/>
      <w:divBdr>
        <w:top w:val="none" w:sz="0" w:space="0" w:color="auto"/>
        <w:left w:val="none" w:sz="0" w:space="0" w:color="auto"/>
        <w:bottom w:val="none" w:sz="0" w:space="0" w:color="auto"/>
        <w:right w:val="none" w:sz="0" w:space="0" w:color="auto"/>
      </w:divBdr>
    </w:div>
    <w:div w:id="988366891">
      <w:marLeft w:val="0"/>
      <w:marRight w:val="0"/>
      <w:marTop w:val="0"/>
      <w:marBottom w:val="0"/>
      <w:divBdr>
        <w:top w:val="none" w:sz="0" w:space="0" w:color="auto"/>
        <w:left w:val="none" w:sz="0" w:space="0" w:color="auto"/>
        <w:bottom w:val="none" w:sz="0" w:space="0" w:color="auto"/>
        <w:right w:val="none" w:sz="0" w:space="0" w:color="auto"/>
      </w:divBdr>
    </w:div>
    <w:div w:id="990019542">
      <w:marLeft w:val="0"/>
      <w:marRight w:val="0"/>
      <w:marTop w:val="0"/>
      <w:marBottom w:val="0"/>
      <w:divBdr>
        <w:top w:val="none" w:sz="0" w:space="0" w:color="auto"/>
        <w:left w:val="none" w:sz="0" w:space="0" w:color="auto"/>
        <w:bottom w:val="none" w:sz="0" w:space="0" w:color="auto"/>
        <w:right w:val="none" w:sz="0" w:space="0" w:color="auto"/>
      </w:divBdr>
    </w:div>
    <w:div w:id="999583105">
      <w:marLeft w:val="0"/>
      <w:marRight w:val="0"/>
      <w:marTop w:val="0"/>
      <w:marBottom w:val="0"/>
      <w:divBdr>
        <w:top w:val="none" w:sz="0" w:space="0" w:color="auto"/>
        <w:left w:val="none" w:sz="0" w:space="0" w:color="auto"/>
        <w:bottom w:val="none" w:sz="0" w:space="0" w:color="auto"/>
        <w:right w:val="none" w:sz="0" w:space="0" w:color="auto"/>
      </w:divBdr>
    </w:div>
    <w:div w:id="1000544903">
      <w:marLeft w:val="630"/>
      <w:marRight w:val="0"/>
      <w:marTop w:val="0"/>
      <w:marBottom w:val="150"/>
      <w:divBdr>
        <w:top w:val="none" w:sz="0" w:space="0" w:color="auto"/>
        <w:left w:val="none" w:sz="0" w:space="0" w:color="auto"/>
        <w:bottom w:val="none" w:sz="0" w:space="0" w:color="auto"/>
        <w:right w:val="none" w:sz="0" w:space="0" w:color="auto"/>
      </w:divBdr>
    </w:div>
    <w:div w:id="1009258932">
      <w:marLeft w:val="0"/>
      <w:marRight w:val="0"/>
      <w:marTop w:val="0"/>
      <w:marBottom w:val="0"/>
      <w:divBdr>
        <w:top w:val="none" w:sz="0" w:space="0" w:color="auto"/>
        <w:left w:val="none" w:sz="0" w:space="0" w:color="auto"/>
        <w:bottom w:val="none" w:sz="0" w:space="0" w:color="auto"/>
        <w:right w:val="none" w:sz="0" w:space="0" w:color="auto"/>
      </w:divBdr>
    </w:div>
    <w:div w:id="1020355023">
      <w:marLeft w:val="0"/>
      <w:marRight w:val="0"/>
      <w:marTop w:val="0"/>
      <w:marBottom w:val="0"/>
      <w:divBdr>
        <w:top w:val="none" w:sz="0" w:space="0" w:color="auto"/>
        <w:left w:val="none" w:sz="0" w:space="0" w:color="auto"/>
        <w:bottom w:val="none" w:sz="0" w:space="0" w:color="auto"/>
        <w:right w:val="none" w:sz="0" w:space="0" w:color="auto"/>
      </w:divBdr>
    </w:div>
    <w:div w:id="1022824036">
      <w:marLeft w:val="540"/>
      <w:marRight w:val="0"/>
      <w:marTop w:val="0"/>
      <w:marBottom w:val="150"/>
      <w:divBdr>
        <w:top w:val="none" w:sz="0" w:space="0" w:color="auto"/>
        <w:left w:val="none" w:sz="0" w:space="0" w:color="auto"/>
        <w:bottom w:val="none" w:sz="0" w:space="0" w:color="auto"/>
        <w:right w:val="none" w:sz="0" w:space="0" w:color="auto"/>
      </w:divBdr>
    </w:div>
    <w:div w:id="1053312020">
      <w:marLeft w:val="630"/>
      <w:marRight w:val="0"/>
      <w:marTop w:val="0"/>
      <w:marBottom w:val="150"/>
      <w:divBdr>
        <w:top w:val="none" w:sz="0" w:space="0" w:color="auto"/>
        <w:left w:val="none" w:sz="0" w:space="0" w:color="auto"/>
        <w:bottom w:val="none" w:sz="0" w:space="0" w:color="auto"/>
        <w:right w:val="none" w:sz="0" w:space="0" w:color="auto"/>
      </w:divBdr>
    </w:div>
    <w:div w:id="1066336653">
      <w:marLeft w:val="0"/>
      <w:marRight w:val="0"/>
      <w:marTop w:val="0"/>
      <w:marBottom w:val="0"/>
      <w:divBdr>
        <w:top w:val="none" w:sz="0" w:space="0" w:color="auto"/>
        <w:left w:val="none" w:sz="0" w:space="0" w:color="auto"/>
        <w:bottom w:val="none" w:sz="0" w:space="0" w:color="auto"/>
        <w:right w:val="none" w:sz="0" w:space="0" w:color="auto"/>
      </w:divBdr>
    </w:div>
    <w:div w:id="1069500957">
      <w:marLeft w:val="0"/>
      <w:marRight w:val="0"/>
      <w:marTop w:val="0"/>
      <w:marBottom w:val="0"/>
      <w:divBdr>
        <w:top w:val="none" w:sz="0" w:space="0" w:color="auto"/>
        <w:left w:val="none" w:sz="0" w:space="0" w:color="auto"/>
        <w:bottom w:val="none" w:sz="0" w:space="0" w:color="auto"/>
        <w:right w:val="none" w:sz="0" w:space="0" w:color="auto"/>
      </w:divBdr>
    </w:div>
    <w:div w:id="1071929484">
      <w:bodyDiv w:val="1"/>
      <w:marLeft w:val="0"/>
      <w:marRight w:val="0"/>
      <w:marTop w:val="0"/>
      <w:marBottom w:val="0"/>
      <w:divBdr>
        <w:top w:val="none" w:sz="0" w:space="0" w:color="auto"/>
        <w:left w:val="none" w:sz="0" w:space="0" w:color="auto"/>
        <w:bottom w:val="none" w:sz="0" w:space="0" w:color="auto"/>
        <w:right w:val="none" w:sz="0" w:space="0" w:color="auto"/>
      </w:divBdr>
      <w:divsChild>
        <w:div w:id="1774931004">
          <w:marLeft w:val="0"/>
          <w:marRight w:val="0"/>
          <w:marTop w:val="0"/>
          <w:marBottom w:val="0"/>
          <w:divBdr>
            <w:top w:val="none" w:sz="0" w:space="0" w:color="auto"/>
            <w:left w:val="none" w:sz="0" w:space="0" w:color="auto"/>
            <w:bottom w:val="none" w:sz="0" w:space="0" w:color="auto"/>
            <w:right w:val="none" w:sz="0" w:space="0" w:color="auto"/>
          </w:divBdr>
        </w:div>
        <w:div w:id="1012142136">
          <w:marLeft w:val="0"/>
          <w:marRight w:val="0"/>
          <w:marTop w:val="0"/>
          <w:marBottom w:val="0"/>
          <w:divBdr>
            <w:top w:val="none" w:sz="0" w:space="0" w:color="auto"/>
            <w:left w:val="none" w:sz="0" w:space="0" w:color="auto"/>
            <w:bottom w:val="none" w:sz="0" w:space="0" w:color="auto"/>
            <w:right w:val="none" w:sz="0" w:space="0" w:color="auto"/>
          </w:divBdr>
        </w:div>
      </w:divsChild>
    </w:div>
    <w:div w:id="1086153736">
      <w:marLeft w:val="0"/>
      <w:marRight w:val="0"/>
      <w:marTop w:val="0"/>
      <w:marBottom w:val="0"/>
      <w:divBdr>
        <w:top w:val="none" w:sz="0" w:space="0" w:color="auto"/>
        <w:left w:val="none" w:sz="0" w:space="0" w:color="auto"/>
        <w:bottom w:val="none" w:sz="0" w:space="0" w:color="auto"/>
        <w:right w:val="none" w:sz="0" w:space="0" w:color="auto"/>
      </w:divBdr>
    </w:div>
    <w:div w:id="1095172691">
      <w:marLeft w:val="0"/>
      <w:marRight w:val="0"/>
      <w:marTop w:val="0"/>
      <w:marBottom w:val="0"/>
      <w:divBdr>
        <w:top w:val="none" w:sz="0" w:space="0" w:color="auto"/>
        <w:left w:val="none" w:sz="0" w:space="0" w:color="auto"/>
        <w:bottom w:val="none" w:sz="0" w:space="0" w:color="auto"/>
        <w:right w:val="none" w:sz="0" w:space="0" w:color="auto"/>
      </w:divBdr>
    </w:div>
    <w:div w:id="1097680358">
      <w:marLeft w:val="0"/>
      <w:marRight w:val="0"/>
      <w:marTop w:val="0"/>
      <w:marBottom w:val="0"/>
      <w:divBdr>
        <w:top w:val="none" w:sz="0" w:space="0" w:color="auto"/>
        <w:left w:val="none" w:sz="0" w:space="0" w:color="auto"/>
        <w:bottom w:val="none" w:sz="0" w:space="0" w:color="auto"/>
        <w:right w:val="none" w:sz="0" w:space="0" w:color="auto"/>
      </w:divBdr>
    </w:div>
    <w:div w:id="1124735646">
      <w:marLeft w:val="540"/>
      <w:marRight w:val="0"/>
      <w:marTop w:val="0"/>
      <w:marBottom w:val="150"/>
      <w:divBdr>
        <w:top w:val="none" w:sz="0" w:space="0" w:color="auto"/>
        <w:left w:val="none" w:sz="0" w:space="0" w:color="auto"/>
        <w:bottom w:val="none" w:sz="0" w:space="0" w:color="auto"/>
        <w:right w:val="none" w:sz="0" w:space="0" w:color="auto"/>
      </w:divBdr>
    </w:div>
    <w:div w:id="1142162632">
      <w:marLeft w:val="0"/>
      <w:marRight w:val="0"/>
      <w:marTop w:val="0"/>
      <w:marBottom w:val="0"/>
      <w:divBdr>
        <w:top w:val="none" w:sz="0" w:space="0" w:color="auto"/>
        <w:left w:val="none" w:sz="0" w:space="0" w:color="auto"/>
        <w:bottom w:val="none" w:sz="0" w:space="0" w:color="auto"/>
        <w:right w:val="none" w:sz="0" w:space="0" w:color="auto"/>
      </w:divBdr>
    </w:div>
    <w:div w:id="1154417443">
      <w:marLeft w:val="630"/>
      <w:marRight w:val="0"/>
      <w:marTop w:val="0"/>
      <w:marBottom w:val="150"/>
      <w:divBdr>
        <w:top w:val="none" w:sz="0" w:space="0" w:color="auto"/>
        <w:left w:val="none" w:sz="0" w:space="0" w:color="auto"/>
        <w:bottom w:val="none" w:sz="0" w:space="0" w:color="auto"/>
        <w:right w:val="none" w:sz="0" w:space="0" w:color="auto"/>
      </w:divBdr>
    </w:div>
    <w:div w:id="1169640273">
      <w:marLeft w:val="540"/>
      <w:marRight w:val="0"/>
      <w:marTop w:val="0"/>
      <w:marBottom w:val="150"/>
      <w:divBdr>
        <w:top w:val="none" w:sz="0" w:space="0" w:color="auto"/>
        <w:left w:val="none" w:sz="0" w:space="0" w:color="auto"/>
        <w:bottom w:val="none" w:sz="0" w:space="0" w:color="auto"/>
        <w:right w:val="none" w:sz="0" w:space="0" w:color="auto"/>
      </w:divBdr>
    </w:div>
    <w:div w:id="1173912024">
      <w:marLeft w:val="0"/>
      <w:marRight w:val="0"/>
      <w:marTop w:val="0"/>
      <w:marBottom w:val="0"/>
      <w:divBdr>
        <w:top w:val="none" w:sz="0" w:space="0" w:color="auto"/>
        <w:left w:val="none" w:sz="0" w:space="0" w:color="auto"/>
        <w:bottom w:val="none" w:sz="0" w:space="0" w:color="auto"/>
        <w:right w:val="none" w:sz="0" w:space="0" w:color="auto"/>
      </w:divBdr>
    </w:div>
    <w:div w:id="1174806036">
      <w:marLeft w:val="1245"/>
      <w:marRight w:val="0"/>
      <w:marTop w:val="0"/>
      <w:marBottom w:val="0"/>
      <w:divBdr>
        <w:top w:val="none" w:sz="0" w:space="0" w:color="auto"/>
        <w:left w:val="none" w:sz="0" w:space="0" w:color="auto"/>
        <w:bottom w:val="none" w:sz="0" w:space="0" w:color="auto"/>
        <w:right w:val="none" w:sz="0" w:space="0" w:color="auto"/>
      </w:divBdr>
    </w:div>
    <w:div w:id="1178538262">
      <w:marLeft w:val="0"/>
      <w:marRight w:val="0"/>
      <w:marTop w:val="0"/>
      <w:marBottom w:val="0"/>
      <w:divBdr>
        <w:top w:val="none" w:sz="0" w:space="0" w:color="auto"/>
        <w:left w:val="none" w:sz="0" w:space="0" w:color="auto"/>
        <w:bottom w:val="none" w:sz="0" w:space="0" w:color="auto"/>
        <w:right w:val="none" w:sz="0" w:space="0" w:color="auto"/>
      </w:divBdr>
    </w:div>
    <w:div w:id="1183201459">
      <w:marLeft w:val="0"/>
      <w:marRight w:val="0"/>
      <w:marTop w:val="0"/>
      <w:marBottom w:val="0"/>
      <w:divBdr>
        <w:top w:val="none" w:sz="0" w:space="0" w:color="auto"/>
        <w:left w:val="none" w:sz="0" w:space="0" w:color="auto"/>
        <w:bottom w:val="none" w:sz="0" w:space="0" w:color="auto"/>
        <w:right w:val="none" w:sz="0" w:space="0" w:color="auto"/>
      </w:divBdr>
    </w:div>
    <w:div w:id="1188450483">
      <w:marLeft w:val="0"/>
      <w:marRight w:val="0"/>
      <w:marTop w:val="0"/>
      <w:marBottom w:val="0"/>
      <w:divBdr>
        <w:top w:val="none" w:sz="0" w:space="0" w:color="auto"/>
        <w:left w:val="none" w:sz="0" w:space="0" w:color="auto"/>
        <w:bottom w:val="none" w:sz="0" w:space="0" w:color="auto"/>
        <w:right w:val="none" w:sz="0" w:space="0" w:color="auto"/>
      </w:divBdr>
    </w:div>
    <w:div w:id="1190411211">
      <w:marLeft w:val="540"/>
      <w:marRight w:val="0"/>
      <w:marTop w:val="0"/>
      <w:marBottom w:val="150"/>
      <w:divBdr>
        <w:top w:val="none" w:sz="0" w:space="0" w:color="auto"/>
        <w:left w:val="none" w:sz="0" w:space="0" w:color="auto"/>
        <w:bottom w:val="none" w:sz="0" w:space="0" w:color="auto"/>
        <w:right w:val="none" w:sz="0" w:space="0" w:color="auto"/>
      </w:divBdr>
    </w:div>
    <w:div w:id="1193037576">
      <w:marLeft w:val="540"/>
      <w:marRight w:val="0"/>
      <w:marTop w:val="0"/>
      <w:marBottom w:val="150"/>
      <w:divBdr>
        <w:top w:val="none" w:sz="0" w:space="0" w:color="auto"/>
        <w:left w:val="none" w:sz="0" w:space="0" w:color="auto"/>
        <w:bottom w:val="none" w:sz="0" w:space="0" w:color="auto"/>
        <w:right w:val="none" w:sz="0" w:space="0" w:color="auto"/>
      </w:divBdr>
    </w:div>
    <w:div w:id="1195507926">
      <w:marLeft w:val="630"/>
      <w:marRight w:val="0"/>
      <w:marTop w:val="0"/>
      <w:marBottom w:val="150"/>
      <w:divBdr>
        <w:top w:val="none" w:sz="0" w:space="0" w:color="auto"/>
        <w:left w:val="none" w:sz="0" w:space="0" w:color="auto"/>
        <w:bottom w:val="none" w:sz="0" w:space="0" w:color="auto"/>
        <w:right w:val="none" w:sz="0" w:space="0" w:color="auto"/>
      </w:divBdr>
    </w:div>
    <w:div w:id="1199589760">
      <w:marLeft w:val="630"/>
      <w:marRight w:val="0"/>
      <w:marTop w:val="0"/>
      <w:marBottom w:val="150"/>
      <w:divBdr>
        <w:top w:val="none" w:sz="0" w:space="0" w:color="auto"/>
        <w:left w:val="none" w:sz="0" w:space="0" w:color="auto"/>
        <w:bottom w:val="none" w:sz="0" w:space="0" w:color="auto"/>
        <w:right w:val="none" w:sz="0" w:space="0" w:color="auto"/>
      </w:divBdr>
    </w:div>
    <w:div w:id="1210918756">
      <w:marLeft w:val="1245"/>
      <w:marRight w:val="0"/>
      <w:marTop w:val="0"/>
      <w:marBottom w:val="0"/>
      <w:divBdr>
        <w:top w:val="none" w:sz="0" w:space="0" w:color="auto"/>
        <w:left w:val="none" w:sz="0" w:space="0" w:color="auto"/>
        <w:bottom w:val="none" w:sz="0" w:space="0" w:color="auto"/>
        <w:right w:val="none" w:sz="0" w:space="0" w:color="auto"/>
      </w:divBdr>
    </w:div>
    <w:div w:id="1211914149">
      <w:marLeft w:val="0"/>
      <w:marRight w:val="0"/>
      <w:marTop w:val="0"/>
      <w:marBottom w:val="0"/>
      <w:divBdr>
        <w:top w:val="none" w:sz="0" w:space="0" w:color="auto"/>
        <w:left w:val="none" w:sz="0" w:space="0" w:color="auto"/>
        <w:bottom w:val="none" w:sz="0" w:space="0" w:color="auto"/>
        <w:right w:val="none" w:sz="0" w:space="0" w:color="auto"/>
      </w:divBdr>
    </w:div>
    <w:div w:id="1215628997">
      <w:marLeft w:val="630"/>
      <w:marRight w:val="0"/>
      <w:marTop w:val="0"/>
      <w:marBottom w:val="150"/>
      <w:divBdr>
        <w:top w:val="none" w:sz="0" w:space="0" w:color="auto"/>
        <w:left w:val="none" w:sz="0" w:space="0" w:color="auto"/>
        <w:bottom w:val="none" w:sz="0" w:space="0" w:color="auto"/>
        <w:right w:val="none" w:sz="0" w:space="0" w:color="auto"/>
      </w:divBdr>
    </w:div>
    <w:div w:id="1223371748">
      <w:marLeft w:val="0"/>
      <w:marRight w:val="0"/>
      <w:marTop w:val="0"/>
      <w:marBottom w:val="0"/>
      <w:divBdr>
        <w:top w:val="none" w:sz="0" w:space="0" w:color="auto"/>
        <w:left w:val="none" w:sz="0" w:space="0" w:color="auto"/>
        <w:bottom w:val="none" w:sz="0" w:space="0" w:color="auto"/>
        <w:right w:val="none" w:sz="0" w:space="0" w:color="auto"/>
      </w:divBdr>
    </w:div>
    <w:div w:id="1228419219">
      <w:marLeft w:val="0"/>
      <w:marRight w:val="0"/>
      <w:marTop w:val="0"/>
      <w:marBottom w:val="0"/>
      <w:divBdr>
        <w:top w:val="none" w:sz="0" w:space="0" w:color="auto"/>
        <w:left w:val="none" w:sz="0" w:space="0" w:color="auto"/>
        <w:bottom w:val="none" w:sz="0" w:space="0" w:color="auto"/>
        <w:right w:val="none" w:sz="0" w:space="0" w:color="auto"/>
      </w:divBdr>
    </w:div>
    <w:div w:id="1236161132">
      <w:marLeft w:val="0"/>
      <w:marRight w:val="0"/>
      <w:marTop w:val="0"/>
      <w:marBottom w:val="0"/>
      <w:divBdr>
        <w:top w:val="none" w:sz="0" w:space="0" w:color="auto"/>
        <w:left w:val="none" w:sz="0" w:space="0" w:color="auto"/>
        <w:bottom w:val="none" w:sz="0" w:space="0" w:color="auto"/>
        <w:right w:val="none" w:sz="0" w:space="0" w:color="auto"/>
      </w:divBdr>
    </w:div>
    <w:div w:id="1238708182">
      <w:marLeft w:val="630"/>
      <w:marRight w:val="0"/>
      <w:marTop w:val="0"/>
      <w:marBottom w:val="150"/>
      <w:divBdr>
        <w:top w:val="none" w:sz="0" w:space="0" w:color="auto"/>
        <w:left w:val="none" w:sz="0" w:space="0" w:color="auto"/>
        <w:bottom w:val="none" w:sz="0" w:space="0" w:color="auto"/>
        <w:right w:val="none" w:sz="0" w:space="0" w:color="auto"/>
      </w:divBdr>
    </w:div>
    <w:div w:id="1253395388">
      <w:marLeft w:val="0"/>
      <w:marRight w:val="0"/>
      <w:marTop w:val="0"/>
      <w:marBottom w:val="0"/>
      <w:divBdr>
        <w:top w:val="none" w:sz="0" w:space="0" w:color="auto"/>
        <w:left w:val="none" w:sz="0" w:space="0" w:color="auto"/>
        <w:bottom w:val="none" w:sz="0" w:space="0" w:color="auto"/>
        <w:right w:val="none" w:sz="0" w:space="0" w:color="auto"/>
      </w:divBdr>
    </w:div>
    <w:div w:id="1254513882">
      <w:marLeft w:val="630"/>
      <w:marRight w:val="0"/>
      <w:marTop w:val="0"/>
      <w:marBottom w:val="150"/>
      <w:divBdr>
        <w:top w:val="none" w:sz="0" w:space="0" w:color="auto"/>
        <w:left w:val="none" w:sz="0" w:space="0" w:color="auto"/>
        <w:bottom w:val="none" w:sz="0" w:space="0" w:color="auto"/>
        <w:right w:val="none" w:sz="0" w:space="0" w:color="auto"/>
      </w:divBdr>
    </w:div>
    <w:div w:id="1258365566">
      <w:marLeft w:val="540"/>
      <w:marRight w:val="0"/>
      <w:marTop w:val="180"/>
      <w:marBottom w:val="0"/>
      <w:divBdr>
        <w:top w:val="none" w:sz="0" w:space="0" w:color="auto"/>
        <w:left w:val="none" w:sz="0" w:space="0" w:color="auto"/>
        <w:bottom w:val="none" w:sz="0" w:space="0" w:color="auto"/>
        <w:right w:val="none" w:sz="0" w:space="0" w:color="auto"/>
      </w:divBdr>
    </w:div>
    <w:div w:id="1258638464">
      <w:marLeft w:val="630"/>
      <w:marRight w:val="0"/>
      <w:marTop w:val="0"/>
      <w:marBottom w:val="150"/>
      <w:divBdr>
        <w:top w:val="none" w:sz="0" w:space="0" w:color="auto"/>
        <w:left w:val="none" w:sz="0" w:space="0" w:color="auto"/>
        <w:bottom w:val="none" w:sz="0" w:space="0" w:color="auto"/>
        <w:right w:val="none" w:sz="0" w:space="0" w:color="auto"/>
      </w:divBdr>
    </w:div>
    <w:div w:id="1275792638">
      <w:marLeft w:val="0"/>
      <w:marRight w:val="0"/>
      <w:marTop w:val="0"/>
      <w:marBottom w:val="0"/>
      <w:divBdr>
        <w:top w:val="none" w:sz="0" w:space="0" w:color="auto"/>
        <w:left w:val="none" w:sz="0" w:space="0" w:color="auto"/>
        <w:bottom w:val="none" w:sz="0" w:space="0" w:color="auto"/>
        <w:right w:val="none" w:sz="0" w:space="0" w:color="auto"/>
      </w:divBdr>
    </w:div>
    <w:div w:id="1292513782">
      <w:marLeft w:val="0"/>
      <w:marRight w:val="0"/>
      <w:marTop w:val="0"/>
      <w:marBottom w:val="0"/>
      <w:divBdr>
        <w:top w:val="none" w:sz="0" w:space="0" w:color="auto"/>
        <w:left w:val="none" w:sz="0" w:space="0" w:color="auto"/>
        <w:bottom w:val="none" w:sz="0" w:space="0" w:color="auto"/>
        <w:right w:val="none" w:sz="0" w:space="0" w:color="auto"/>
      </w:divBdr>
    </w:div>
    <w:div w:id="1293555337">
      <w:marLeft w:val="540"/>
      <w:marRight w:val="0"/>
      <w:marTop w:val="0"/>
      <w:marBottom w:val="0"/>
      <w:divBdr>
        <w:top w:val="none" w:sz="0" w:space="0" w:color="auto"/>
        <w:left w:val="none" w:sz="0" w:space="0" w:color="auto"/>
        <w:bottom w:val="none" w:sz="0" w:space="0" w:color="auto"/>
        <w:right w:val="none" w:sz="0" w:space="0" w:color="auto"/>
      </w:divBdr>
    </w:div>
    <w:div w:id="1296064891">
      <w:marLeft w:val="0"/>
      <w:marRight w:val="0"/>
      <w:marTop w:val="0"/>
      <w:marBottom w:val="0"/>
      <w:divBdr>
        <w:top w:val="none" w:sz="0" w:space="0" w:color="auto"/>
        <w:left w:val="none" w:sz="0" w:space="0" w:color="auto"/>
        <w:bottom w:val="none" w:sz="0" w:space="0" w:color="auto"/>
        <w:right w:val="none" w:sz="0" w:space="0" w:color="auto"/>
      </w:divBdr>
    </w:div>
    <w:div w:id="1301958953">
      <w:marLeft w:val="630"/>
      <w:marRight w:val="0"/>
      <w:marTop w:val="0"/>
      <w:marBottom w:val="150"/>
      <w:divBdr>
        <w:top w:val="none" w:sz="0" w:space="0" w:color="auto"/>
        <w:left w:val="none" w:sz="0" w:space="0" w:color="auto"/>
        <w:bottom w:val="none" w:sz="0" w:space="0" w:color="auto"/>
        <w:right w:val="none" w:sz="0" w:space="0" w:color="auto"/>
      </w:divBdr>
    </w:div>
    <w:div w:id="1305744610">
      <w:marLeft w:val="0"/>
      <w:marRight w:val="0"/>
      <w:marTop w:val="0"/>
      <w:marBottom w:val="0"/>
      <w:divBdr>
        <w:top w:val="none" w:sz="0" w:space="0" w:color="auto"/>
        <w:left w:val="none" w:sz="0" w:space="0" w:color="auto"/>
        <w:bottom w:val="none" w:sz="0" w:space="0" w:color="auto"/>
        <w:right w:val="none" w:sz="0" w:space="0" w:color="auto"/>
      </w:divBdr>
    </w:div>
    <w:div w:id="1341077706">
      <w:marLeft w:val="0"/>
      <w:marRight w:val="0"/>
      <w:marTop w:val="0"/>
      <w:marBottom w:val="0"/>
      <w:divBdr>
        <w:top w:val="none" w:sz="0" w:space="0" w:color="auto"/>
        <w:left w:val="none" w:sz="0" w:space="0" w:color="auto"/>
        <w:bottom w:val="none" w:sz="0" w:space="0" w:color="auto"/>
        <w:right w:val="none" w:sz="0" w:space="0" w:color="auto"/>
      </w:divBdr>
    </w:div>
    <w:div w:id="1343508370">
      <w:marLeft w:val="0"/>
      <w:marRight w:val="0"/>
      <w:marTop w:val="0"/>
      <w:marBottom w:val="0"/>
      <w:divBdr>
        <w:top w:val="none" w:sz="0" w:space="0" w:color="auto"/>
        <w:left w:val="none" w:sz="0" w:space="0" w:color="auto"/>
        <w:bottom w:val="none" w:sz="0" w:space="0" w:color="auto"/>
        <w:right w:val="none" w:sz="0" w:space="0" w:color="auto"/>
      </w:divBdr>
    </w:div>
    <w:div w:id="1366448662">
      <w:marLeft w:val="0"/>
      <w:marRight w:val="0"/>
      <w:marTop w:val="0"/>
      <w:marBottom w:val="0"/>
      <w:divBdr>
        <w:top w:val="none" w:sz="0" w:space="0" w:color="auto"/>
        <w:left w:val="none" w:sz="0" w:space="0" w:color="auto"/>
        <w:bottom w:val="none" w:sz="0" w:space="0" w:color="auto"/>
        <w:right w:val="none" w:sz="0" w:space="0" w:color="auto"/>
      </w:divBdr>
    </w:div>
    <w:div w:id="1400714380">
      <w:marLeft w:val="630"/>
      <w:marRight w:val="0"/>
      <w:marTop w:val="0"/>
      <w:marBottom w:val="150"/>
      <w:divBdr>
        <w:top w:val="none" w:sz="0" w:space="0" w:color="auto"/>
        <w:left w:val="none" w:sz="0" w:space="0" w:color="auto"/>
        <w:bottom w:val="none" w:sz="0" w:space="0" w:color="auto"/>
        <w:right w:val="none" w:sz="0" w:space="0" w:color="auto"/>
      </w:divBdr>
    </w:div>
    <w:div w:id="1426877509">
      <w:marLeft w:val="0"/>
      <w:marRight w:val="0"/>
      <w:marTop w:val="0"/>
      <w:marBottom w:val="0"/>
      <w:divBdr>
        <w:top w:val="none" w:sz="0" w:space="0" w:color="auto"/>
        <w:left w:val="none" w:sz="0" w:space="0" w:color="auto"/>
        <w:bottom w:val="none" w:sz="0" w:space="0" w:color="auto"/>
        <w:right w:val="none" w:sz="0" w:space="0" w:color="auto"/>
      </w:divBdr>
    </w:div>
    <w:div w:id="1452869215">
      <w:marLeft w:val="630"/>
      <w:marRight w:val="0"/>
      <w:marTop w:val="0"/>
      <w:marBottom w:val="150"/>
      <w:divBdr>
        <w:top w:val="none" w:sz="0" w:space="0" w:color="auto"/>
        <w:left w:val="none" w:sz="0" w:space="0" w:color="auto"/>
        <w:bottom w:val="none" w:sz="0" w:space="0" w:color="auto"/>
        <w:right w:val="none" w:sz="0" w:space="0" w:color="auto"/>
      </w:divBdr>
    </w:div>
    <w:div w:id="1460488325">
      <w:marLeft w:val="0"/>
      <w:marRight w:val="0"/>
      <w:marTop w:val="0"/>
      <w:marBottom w:val="0"/>
      <w:divBdr>
        <w:top w:val="none" w:sz="0" w:space="0" w:color="auto"/>
        <w:left w:val="none" w:sz="0" w:space="0" w:color="auto"/>
        <w:bottom w:val="none" w:sz="0" w:space="0" w:color="auto"/>
        <w:right w:val="none" w:sz="0" w:space="0" w:color="auto"/>
      </w:divBdr>
    </w:div>
    <w:div w:id="1491286450">
      <w:marLeft w:val="630"/>
      <w:marRight w:val="0"/>
      <w:marTop w:val="0"/>
      <w:marBottom w:val="150"/>
      <w:divBdr>
        <w:top w:val="none" w:sz="0" w:space="0" w:color="auto"/>
        <w:left w:val="none" w:sz="0" w:space="0" w:color="auto"/>
        <w:bottom w:val="none" w:sz="0" w:space="0" w:color="auto"/>
        <w:right w:val="none" w:sz="0" w:space="0" w:color="auto"/>
      </w:divBdr>
    </w:div>
    <w:div w:id="1499031084">
      <w:marLeft w:val="0"/>
      <w:marRight w:val="0"/>
      <w:marTop w:val="0"/>
      <w:marBottom w:val="0"/>
      <w:divBdr>
        <w:top w:val="none" w:sz="0" w:space="0" w:color="auto"/>
        <w:left w:val="none" w:sz="0" w:space="0" w:color="auto"/>
        <w:bottom w:val="none" w:sz="0" w:space="0" w:color="auto"/>
        <w:right w:val="none" w:sz="0" w:space="0" w:color="auto"/>
      </w:divBdr>
    </w:div>
    <w:div w:id="1511287631">
      <w:marLeft w:val="0"/>
      <w:marRight w:val="0"/>
      <w:marTop w:val="0"/>
      <w:marBottom w:val="0"/>
      <w:divBdr>
        <w:top w:val="none" w:sz="0" w:space="0" w:color="auto"/>
        <w:left w:val="none" w:sz="0" w:space="0" w:color="auto"/>
        <w:bottom w:val="none" w:sz="0" w:space="0" w:color="auto"/>
        <w:right w:val="none" w:sz="0" w:space="0" w:color="auto"/>
      </w:divBdr>
    </w:div>
    <w:div w:id="1518156877">
      <w:marLeft w:val="630"/>
      <w:marRight w:val="0"/>
      <w:marTop w:val="0"/>
      <w:marBottom w:val="150"/>
      <w:divBdr>
        <w:top w:val="none" w:sz="0" w:space="0" w:color="auto"/>
        <w:left w:val="none" w:sz="0" w:space="0" w:color="auto"/>
        <w:bottom w:val="none" w:sz="0" w:space="0" w:color="auto"/>
        <w:right w:val="none" w:sz="0" w:space="0" w:color="auto"/>
      </w:divBdr>
    </w:div>
    <w:div w:id="1537085622">
      <w:marLeft w:val="630"/>
      <w:marRight w:val="0"/>
      <w:marTop w:val="0"/>
      <w:marBottom w:val="150"/>
      <w:divBdr>
        <w:top w:val="none" w:sz="0" w:space="0" w:color="auto"/>
        <w:left w:val="none" w:sz="0" w:space="0" w:color="auto"/>
        <w:bottom w:val="none" w:sz="0" w:space="0" w:color="auto"/>
        <w:right w:val="none" w:sz="0" w:space="0" w:color="auto"/>
      </w:divBdr>
    </w:div>
    <w:div w:id="1541168179">
      <w:marLeft w:val="630"/>
      <w:marRight w:val="0"/>
      <w:marTop w:val="0"/>
      <w:marBottom w:val="150"/>
      <w:divBdr>
        <w:top w:val="none" w:sz="0" w:space="0" w:color="auto"/>
        <w:left w:val="none" w:sz="0" w:space="0" w:color="auto"/>
        <w:bottom w:val="none" w:sz="0" w:space="0" w:color="auto"/>
        <w:right w:val="none" w:sz="0" w:space="0" w:color="auto"/>
      </w:divBdr>
    </w:div>
    <w:div w:id="1555654749">
      <w:marLeft w:val="0"/>
      <w:marRight w:val="0"/>
      <w:marTop w:val="0"/>
      <w:marBottom w:val="0"/>
      <w:divBdr>
        <w:top w:val="none" w:sz="0" w:space="0" w:color="auto"/>
        <w:left w:val="none" w:sz="0" w:space="0" w:color="auto"/>
        <w:bottom w:val="none" w:sz="0" w:space="0" w:color="auto"/>
        <w:right w:val="none" w:sz="0" w:space="0" w:color="auto"/>
      </w:divBdr>
    </w:div>
    <w:div w:id="1569270093">
      <w:marLeft w:val="540"/>
      <w:marRight w:val="0"/>
      <w:marTop w:val="0"/>
      <w:marBottom w:val="0"/>
      <w:divBdr>
        <w:top w:val="none" w:sz="0" w:space="0" w:color="auto"/>
        <w:left w:val="none" w:sz="0" w:space="0" w:color="auto"/>
        <w:bottom w:val="none" w:sz="0" w:space="0" w:color="auto"/>
        <w:right w:val="none" w:sz="0" w:space="0" w:color="auto"/>
      </w:divBdr>
    </w:div>
    <w:div w:id="1569343758">
      <w:marLeft w:val="0"/>
      <w:marRight w:val="0"/>
      <w:marTop w:val="0"/>
      <w:marBottom w:val="0"/>
      <w:divBdr>
        <w:top w:val="none" w:sz="0" w:space="0" w:color="auto"/>
        <w:left w:val="none" w:sz="0" w:space="0" w:color="auto"/>
        <w:bottom w:val="none" w:sz="0" w:space="0" w:color="auto"/>
        <w:right w:val="none" w:sz="0" w:space="0" w:color="auto"/>
      </w:divBdr>
    </w:div>
    <w:div w:id="1572961173">
      <w:marLeft w:val="0"/>
      <w:marRight w:val="0"/>
      <w:marTop w:val="0"/>
      <w:marBottom w:val="0"/>
      <w:divBdr>
        <w:top w:val="none" w:sz="0" w:space="0" w:color="auto"/>
        <w:left w:val="none" w:sz="0" w:space="0" w:color="auto"/>
        <w:bottom w:val="none" w:sz="0" w:space="0" w:color="auto"/>
        <w:right w:val="none" w:sz="0" w:space="0" w:color="auto"/>
      </w:divBdr>
    </w:div>
    <w:div w:id="1579484694">
      <w:marLeft w:val="630"/>
      <w:marRight w:val="0"/>
      <w:marTop w:val="0"/>
      <w:marBottom w:val="150"/>
      <w:divBdr>
        <w:top w:val="none" w:sz="0" w:space="0" w:color="auto"/>
        <w:left w:val="none" w:sz="0" w:space="0" w:color="auto"/>
        <w:bottom w:val="none" w:sz="0" w:space="0" w:color="auto"/>
        <w:right w:val="none" w:sz="0" w:space="0" w:color="auto"/>
      </w:divBdr>
    </w:div>
    <w:div w:id="1582790242">
      <w:marLeft w:val="540"/>
      <w:marRight w:val="0"/>
      <w:marTop w:val="0"/>
      <w:marBottom w:val="150"/>
      <w:divBdr>
        <w:top w:val="none" w:sz="0" w:space="0" w:color="auto"/>
        <w:left w:val="none" w:sz="0" w:space="0" w:color="auto"/>
        <w:bottom w:val="none" w:sz="0" w:space="0" w:color="auto"/>
        <w:right w:val="none" w:sz="0" w:space="0" w:color="auto"/>
      </w:divBdr>
    </w:div>
    <w:div w:id="1582984367">
      <w:marLeft w:val="0"/>
      <w:marRight w:val="0"/>
      <w:marTop w:val="0"/>
      <w:marBottom w:val="0"/>
      <w:divBdr>
        <w:top w:val="none" w:sz="0" w:space="0" w:color="auto"/>
        <w:left w:val="none" w:sz="0" w:space="0" w:color="auto"/>
        <w:bottom w:val="none" w:sz="0" w:space="0" w:color="auto"/>
        <w:right w:val="none" w:sz="0" w:space="0" w:color="auto"/>
      </w:divBdr>
    </w:div>
    <w:div w:id="1587763470">
      <w:marLeft w:val="540"/>
      <w:marRight w:val="0"/>
      <w:marTop w:val="0"/>
      <w:marBottom w:val="0"/>
      <w:divBdr>
        <w:top w:val="none" w:sz="0" w:space="0" w:color="auto"/>
        <w:left w:val="none" w:sz="0" w:space="0" w:color="auto"/>
        <w:bottom w:val="none" w:sz="0" w:space="0" w:color="auto"/>
        <w:right w:val="none" w:sz="0" w:space="0" w:color="auto"/>
      </w:divBdr>
    </w:div>
    <w:div w:id="1592197590">
      <w:marLeft w:val="630"/>
      <w:marRight w:val="0"/>
      <w:marTop w:val="0"/>
      <w:marBottom w:val="150"/>
      <w:divBdr>
        <w:top w:val="none" w:sz="0" w:space="0" w:color="auto"/>
        <w:left w:val="none" w:sz="0" w:space="0" w:color="auto"/>
        <w:bottom w:val="none" w:sz="0" w:space="0" w:color="auto"/>
        <w:right w:val="none" w:sz="0" w:space="0" w:color="auto"/>
      </w:divBdr>
    </w:div>
    <w:div w:id="1595362258">
      <w:marLeft w:val="630"/>
      <w:marRight w:val="0"/>
      <w:marTop w:val="0"/>
      <w:marBottom w:val="150"/>
      <w:divBdr>
        <w:top w:val="none" w:sz="0" w:space="0" w:color="auto"/>
        <w:left w:val="none" w:sz="0" w:space="0" w:color="auto"/>
        <w:bottom w:val="none" w:sz="0" w:space="0" w:color="auto"/>
        <w:right w:val="none" w:sz="0" w:space="0" w:color="auto"/>
      </w:divBdr>
    </w:div>
    <w:div w:id="1597204444">
      <w:marLeft w:val="0"/>
      <w:marRight w:val="0"/>
      <w:marTop w:val="0"/>
      <w:marBottom w:val="0"/>
      <w:divBdr>
        <w:top w:val="none" w:sz="0" w:space="0" w:color="auto"/>
        <w:left w:val="none" w:sz="0" w:space="0" w:color="auto"/>
        <w:bottom w:val="none" w:sz="0" w:space="0" w:color="auto"/>
        <w:right w:val="none" w:sz="0" w:space="0" w:color="auto"/>
      </w:divBdr>
    </w:div>
    <w:div w:id="1600332384">
      <w:marLeft w:val="540"/>
      <w:marRight w:val="0"/>
      <w:marTop w:val="0"/>
      <w:marBottom w:val="150"/>
      <w:divBdr>
        <w:top w:val="none" w:sz="0" w:space="0" w:color="auto"/>
        <w:left w:val="none" w:sz="0" w:space="0" w:color="auto"/>
        <w:bottom w:val="none" w:sz="0" w:space="0" w:color="auto"/>
        <w:right w:val="none" w:sz="0" w:space="0" w:color="auto"/>
      </w:divBdr>
    </w:div>
    <w:div w:id="1608270974">
      <w:marLeft w:val="0"/>
      <w:marRight w:val="0"/>
      <w:marTop w:val="0"/>
      <w:marBottom w:val="0"/>
      <w:divBdr>
        <w:top w:val="none" w:sz="0" w:space="0" w:color="auto"/>
        <w:left w:val="none" w:sz="0" w:space="0" w:color="auto"/>
        <w:bottom w:val="none" w:sz="0" w:space="0" w:color="auto"/>
        <w:right w:val="none" w:sz="0" w:space="0" w:color="auto"/>
      </w:divBdr>
    </w:div>
    <w:div w:id="1630355227">
      <w:marLeft w:val="540"/>
      <w:marRight w:val="0"/>
      <w:marTop w:val="0"/>
      <w:marBottom w:val="150"/>
      <w:divBdr>
        <w:top w:val="none" w:sz="0" w:space="0" w:color="auto"/>
        <w:left w:val="none" w:sz="0" w:space="0" w:color="auto"/>
        <w:bottom w:val="none" w:sz="0" w:space="0" w:color="auto"/>
        <w:right w:val="none" w:sz="0" w:space="0" w:color="auto"/>
      </w:divBdr>
    </w:div>
    <w:div w:id="1640838539">
      <w:marLeft w:val="0"/>
      <w:marRight w:val="0"/>
      <w:marTop w:val="0"/>
      <w:marBottom w:val="0"/>
      <w:divBdr>
        <w:top w:val="none" w:sz="0" w:space="0" w:color="auto"/>
        <w:left w:val="none" w:sz="0" w:space="0" w:color="auto"/>
        <w:bottom w:val="none" w:sz="0" w:space="0" w:color="auto"/>
        <w:right w:val="none" w:sz="0" w:space="0" w:color="auto"/>
      </w:divBdr>
    </w:div>
    <w:div w:id="1642076177">
      <w:marLeft w:val="0"/>
      <w:marRight w:val="0"/>
      <w:marTop w:val="0"/>
      <w:marBottom w:val="0"/>
      <w:divBdr>
        <w:top w:val="none" w:sz="0" w:space="0" w:color="auto"/>
        <w:left w:val="none" w:sz="0" w:space="0" w:color="auto"/>
        <w:bottom w:val="none" w:sz="0" w:space="0" w:color="auto"/>
        <w:right w:val="none" w:sz="0" w:space="0" w:color="auto"/>
      </w:divBdr>
    </w:div>
    <w:div w:id="1654604067">
      <w:marLeft w:val="630"/>
      <w:marRight w:val="0"/>
      <w:marTop w:val="0"/>
      <w:marBottom w:val="150"/>
      <w:divBdr>
        <w:top w:val="none" w:sz="0" w:space="0" w:color="auto"/>
        <w:left w:val="none" w:sz="0" w:space="0" w:color="auto"/>
        <w:bottom w:val="none" w:sz="0" w:space="0" w:color="auto"/>
        <w:right w:val="none" w:sz="0" w:space="0" w:color="auto"/>
      </w:divBdr>
    </w:div>
    <w:div w:id="1654673540">
      <w:marLeft w:val="630"/>
      <w:marRight w:val="0"/>
      <w:marTop w:val="0"/>
      <w:marBottom w:val="150"/>
      <w:divBdr>
        <w:top w:val="none" w:sz="0" w:space="0" w:color="auto"/>
        <w:left w:val="none" w:sz="0" w:space="0" w:color="auto"/>
        <w:bottom w:val="none" w:sz="0" w:space="0" w:color="auto"/>
        <w:right w:val="none" w:sz="0" w:space="0" w:color="auto"/>
      </w:divBdr>
    </w:div>
    <w:div w:id="1660114104">
      <w:marLeft w:val="0"/>
      <w:marRight w:val="0"/>
      <w:marTop w:val="0"/>
      <w:marBottom w:val="0"/>
      <w:divBdr>
        <w:top w:val="none" w:sz="0" w:space="0" w:color="auto"/>
        <w:left w:val="none" w:sz="0" w:space="0" w:color="auto"/>
        <w:bottom w:val="none" w:sz="0" w:space="0" w:color="auto"/>
        <w:right w:val="none" w:sz="0" w:space="0" w:color="auto"/>
      </w:divBdr>
    </w:div>
    <w:div w:id="1664157716">
      <w:marLeft w:val="540"/>
      <w:marRight w:val="0"/>
      <w:marTop w:val="0"/>
      <w:marBottom w:val="150"/>
      <w:divBdr>
        <w:top w:val="none" w:sz="0" w:space="0" w:color="auto"/>
        <w:left w:val="none" w:sz="0" w:space="0" w:color="auto"/>
        <w:bottom w:val="none" w:sz="0" w:space="0" w:color="auto"/>
        <w:right w:val="none" w:sz="0" w:space="0" w:color="auto"/>
      </w:divBdr>
    </w:div>
    <w:div w:id="1682471131">
      <w:marLeft w:val="0"/>
      <w:marRight w:val="0"/>
      <w:marTop w:val="0"/>
      <w:marBottom w:val="0"/>
      <w:divBdr>
        <w:top w:val="none" w:sz="0" w:space="0" w:color="auto"/>
        <w:left w:val="none" w:sz="0" w:space="0" w:color="auto"/>
        <w:bottom w:val="none" w:sz="0" w:space="0" w:color="auto"/>
        <w:right w:val="none" w:sz="0" w:space="0" w:color="auto"/>
      </w:divBdr>
    </w:div>
    <w:div w:id="1700861017">
      <w:marLeft w:val="0"/>
      <w:marRight w:val="0"/>
      <w:marTop w:val="0"/>
      <w:marBottom w:val="0"/>
      <w:divBdr>
        <w:top w:val="none" w:sz="0" w:space="0" w:color="auto"/>
        <w:left w:val="none" w:sz="0" w:space="0" w:color="auto"/>
        <w:bottom w:val="none" w:sz="0" w:space="0" w:color="auto"/>
        <w:right w:val="none" w:sz="0" w:space="0" w:color="auto"/>
      </w:divBdr>
    </w:div>
    <w:div w:id="1710033627">
      <w:marLeft w:val="630"/>
      <w:marRight w:val="0"/>
      <w:marTop w:val="0"/>
      <w:marBottom w:val="150"/>
      <w:divBdr>
        <w:top w:val="none" w:sz="0" w:space="0" w:color="auto"/>
        <w:left w:val="none" w:sz="0" w:space="0" w:color="auto"/>
        <w:bottom w:val="none" w:sz="0" w:space="0" w:color="auto"/>
        <w:right w:val="none" w:sz="0" w:space="0" w:color="auto"/>
      </w:divBdr>
    </w:div>
    <w:div w:id="1712723722">
      <w:marLeft w:val="0"/>
      <w:marRight w:val="0"/>
      <w:marTop w:val="0"/>
      <w:marBottom w:val="0"/>
      <w:divBdr>
        <w:top w:val="none" w:sz="0" w:space="0" w:color="auto"/>
        <w:left w:val="none" w:sz="0" w:space="0" w:color="auto"/>
        <w:bottom w:val="none" w:sz="0" w:space="0" w:color="auto"/>
        <w:right w:val="none" w:sz="0" w:space="0" w:color="auto"/>
      </w:divBdr>
    </w:div>
    <w:div w:id="1714619548">
      <w:marLeft w:val="630"/>
      <w:marRight w:val="0"/>
      <w:marTop w:val="0"/>
      <w:marBottom w:val="150"/>
      <w:divBdr>
        <w:top w:val="none" w:sz="0" w:space="0" w:color="auto"/>
        <w:left w:val="none" w:sz="0" w:space="0" w:color="auto"/>
        <w:bottom w:val="none" w:sz="0" w:space="0" w:color="auto"/>
        <w:right w:val="none" w:sz="0" w:space="0" w:color="auto"/>
      </w:divBdr>
    </w:div>
    <w:div w:id="1719427714">
      <w:marLeft w:val="0"/>
      <w:marRight w:val="0"/>
      <w:marTop w:val="0"/>
      <w:marBottom w:val="0"/>
      <w:divBdr>
        <w:top w:val="none" w:sz="0" w:space="0" w:color="auto"/>
        <w:left w:val="none" w:sz="0" w:space="0" w:color="auto"/>
        <w:bottom w:val="none" w:sz="0" w:space="0" w:color="auto"/>
        <w:right w:val="none" w:sz="0" w:space="0" w:color="auto"/>
      </w:divBdr>
    </w:div>
    <w:div w:id="1738631460">
      <w:marLeft w:val="0"/>
      <w:marRight w:val="0"/>
      <w:marTop w:val="0"/>
      <w:marBottom w:val="0"/>
      <w:divBdr>
        <w:top w:val="none" w:sz="0" w:space="0" w:color="auto"/>
        <w:left w:val="none" w:sz="0" w:space="0" w:color="auto"/>
        <w:bottom w:val="none" w:sz="0" w:space="0" w:color="auto"/>
        <w:right w:val="none" w:sz="0" w:space="0" w:color="auto"/>
      </w:divBdr>
    </w:div>
    <w:div w:id="1741446287">
      <w:marLeft w:val="630"/>
      <w:marRight w:val="0"/>
      <w:marTop w:val="0"/>
      <w:marBottom w:val="150"/>
      <w:divBdr>
        <w:top w:val="none" w:sz="0" w:space="0" w:color="auto"/>
        <w:left w:val="none" w:sz="0" w:space="0" w:color="auto"/>
        <w:bottom w:val="none" w:sz="0" w:space="0" w:color="auto"/>
        <w:right w:val="none" w:sz="0" w:space="0" w:color="auto"/>
      </w:divBdr>
    </w:div>
    <w:div w:id="1755739026">
      <w:marLeft w:val="0"/>
      <w:marRight w:val="0"/>
      <w:marTop w:val="0"/>
      <w:marBottom w:val="0"/>
      <w:divBdr>
        <w:top w:val="none" w:sz="0" w:space="0" w:color="auto"/>
        <w:left w:val="none" w:sz="0" w:space="0" w:color="auto"/>
        <w:bottom w:val="none" w:sz="0" w:space="0" w:color="auto"/>
        <w:right w:val="none" w:sz="0" w:space="0" w:color="auto"/>
      </w:divBdr>
    </w:div>
    <w:div w:id="1776827281">
      <w:marLeft w:val="630"/>
      <w:marRight w:val="0"/>
      <w:marTop w:val="0"/>
      <w:marBottom w:val="150"/>
      <w:divBdr>
        <w:top w:val="none" w:sz="0" w:space="0" w:color="auto"/>
        <w:left w:val="none" w:sz="0" w:space="0" w:color="auto"/>
        <w:bottom w:val="none" w:sz="0" w:space="0" w:color="auto"/>
        <w:right w:val="none" w:sz="0" w:space="0" w:color="auto"/>
      </w:divBdr>
    </w:div>
    <w:div w:id="1784883829">
      <w:marLeft w:val="0"/>
      <w:marRight w:val="0"/>
      <w:marTop w:val="0"/>
      <w:marBottom w:val="0"/>
      <w:divBdr>
        <w:top w:val="none" w:sz="0" w:space="0" w:color="auto"/>
        <w:left w:val="none" w:sz="0" w:space="0" w:color="auto"/>
        <w:bottom w:val="none" w:sz="0" w:space="0" w:color="auto"/>
        <w:right w:val="none" w:sz="0" w:space="0" w:color="auto"/>
      </w:divBdr>
    </w:div>
    <w:div w:id="1794247518">
      <w:marLeft w:val="630"/>
      <w:marRight w:val="0"/>
      <w:marTop w:val="0"/>
      <w:marBottom w:val="150"/>
      <w:divBdr>
        <w:top w:val="none" w:sz="0" w:space="0" w:color="auto"/>
        <w:left w:val="none" w:sz="0" w:space="0" w:color="auto"/>
        <w:bottom w:val="none" w:sz="0" w:space="0" w:color="auto"/>
        <w:right w:val="none" w:sz="0" w:space="0" w:color="auto"/>
      </w:divBdr>
    </w:div>
    <w:div w:id="1797868147">
      <w:marLeft w:val="630"/>
      <w:marRight w:val="0"/>
      <w:marTop w:val="0"/>
      <w:marBottom w:val="150"/>
      <w:divBdr>
        <w:top w:val="none" w:sz="0" w:space="0" w:color="auto"/>
        <w:left w:val="none" w:sz="0" w:space="0" w:color="auto"/>
        <w:bottom w:val="none" w:sz="0" w:space="0" w:color="auto"/>
        <w:right w:val="none" w:sz="0" w:space="0" w:color="auto"/>
      </w:divBdr>
    </w:div>
    <w:div w:id="1811089498">
      <w:marLeft w:val="0"/>
      <w:marRight w:val="0"/>
      <w:marTop w:val="0"/>
      <w:marBottom w:val="0"/>
      <w:divBdr>
        <w:top w:val="none" w:sz="0" w:space="0" w:color="auto"/>
        <w:left w:val="none" w:sz="0" w:space="0" w:color="auto"/>
        <w:bottom w:val="none" w:sz="0" w:space="0" w:color="auto"/>
        <w:right w:val="none" w:sz="0" w:space="0" w:color="auto"/>
      </w:divBdr>
    </w:div>
    <w:div w:id="1811827909">
      <w:marLeft w:val="0"/>
      <w:marRight w:val="0"/>
      <w:marTop w:val="0"/>
      <w:marBottom w:val="0"/>
      <w:divBdr>
        <w:top w:val="none" w:sz="0" w:space="0" w:color="auto"/>
        <w:left w:val="none" w:sz="0" w:space="0" w:color="auto"/>
        <w:bottom w:val="none" w:sz="0" w:space="0" w:color="auto"/>
        <w:right w:val="none" w:sz="0" w:space="0" w:color="auto"/>
      </w:divBdr>
    </w:div>
    <w:div w:id="1813401494">
      <w:marLeft w:val="585"/>
      <w:marRight w:val="0"/>
      <w:marTop w:val="30"/>
      <w:marBottom w:val="0"/>
      <w:divBdr>
        <w:top w:val="none" w:sz="0" w:space="0" w:color="auto"/>
        <w:left w:val="none" w:sz="0" w:space="0" w:color="auto"/>
        <w:bottom w:val="none" w:sz="0" w:space="0" w:color="auto"/>
        <w:right w:val="none" w:sz="0" w:space="0" w:color="auto"/>
      </w:divBdr>
    </w:div>
    <w:div w:id="1818842176">
      <w:marLeft w:val="0"/>
      <w:marRight w:val="0"/>
      <w:marTop w:val="0"/>
      <w:marBottom w:val="0"/>
      <w:divBdr>
        <w:top w:val="none" w:sz="0" w:space="0" w:color="auto"/>
        <w:left w:val="none" w:sz="0" w:space="0" w:color="auto"/>
        <w:bottom w:val="none" w:sz="0" w:space="0" w:color="auto"/>
        <w:right w:val="none" w:sz="0" w:space="0" w:color="auto"/>
      </w:divBdr>
    </w:div>
    <w:div w:id="1845631132">
      <w:marLeft w:val="0"/>
      <w:marRight w:val="0"/>
      <w:marTop w:val="0"/>
      <w:marBottom w:val="0"/>
      <w:divBdr>
        <w:top w:val="none" w:sz="0" w:space="0" w:color="auto"/>
        <w:left w:val="none" w:sz="0" w:space="0" w:color="auto"/>
        <w:bottom w:val="none" w:sz="0" w:space="0" w:color="auto"/>
        <w:right w:val="none" w:sz="0" w:space="0" w:color="auto"/>
      </w:divBdr>
      <w:divsChild>
        <w:div w:id="697703776">
          <w:marLeft w:val="3075"/>
          <w:marRight w:val="0"/>
          <w:marTop w:val="60"/>
          <w:marBottom w:val="0"/>
          <w:divBdr>
            <w:top w:val="none" w:sz="0" w:space="0" w:color="auto"/>
            <w:left w:val="none" w:sz="0" w:space="0" w:color="auto"/>
            <w:bottom w:val="none" w:sz="0" w:space="0" w:color="auto"/>
            <w:right w:val="none" w:sz="0" w:space="0" w:color="auto"/>
          </w:divBdr>
        </w:div>
      </w:divsChild>
    </w:div>
    <w:div w:id="1846482313">
      <w:marLeft w:val="630"/>
      <w:marRight w:val="0"/>
      <w:marTop w:val="0"/>
      <w:marBottom w:val="150"/>
      <w:divBdr>
        <w:top w:val="none" w:sz="0" w:space="0" w:color="auto"/>
        <w:left w:val="none" w:sz="0" w:space="0" w:color="auto"/>
        <w:bottom w:val="none" w:sz="0" w:space="0" w:color="auto"/>
        <w:right w:val="none" w:sz="0" w:space="0" w:color="auto"/>
      </w:divBdr>
    </w:div>
    <w:div w:id="1848668224">
      <w:marLeft w:val="540"/>
      <w:marRight w:val="0"/>
      <w:marTop w:val="0"/>
      <w:marBottom w:val="150"/>
      <w:divBdr>
        <w:top w:val="none" w:sz="0" w:space="0" w:color="auto"/>
        <w:left w:val="none" w:sz="0" w:space="0" w:color="auto"/>
        <w:bottom w:val="none" w:sz="0" w:space="0" w:color="auto"/>
        <w:right w:val="none" w:sz="0" w:space="0" w:color="auto"/>
      </w:divBdr>
    </w:div>
    <w:div w:id="1849321741">
      <w:marLeft w:val="540"/>
      <w:marRight w:val="0"/>
      <w:marTop w:val="0"/>
      <w:marBottom w:val="150"/>
      <w:divBdr>
        <w:top w:val="none" w:sz="0" w:space="0" w:color="auto"/>
        <w:left w:val="none" w:sz="0" w:space="0" w:color="auto"/>
        <w:bottom w:val="none" w:sz="0" w:space="0" w:color="auto"/>
        <w:right w:val="none" w:sz="0" w:space="0" w:color="auto"/>
      </w:divBdr>
    </w:div>
    <w:div w:id="1868181809">
      <w:bodyDiv w:val="1"/>
      <w:marLeft w:val="0"/>
      <w:marRight w:val="0"/>
      <w:marTop w:val="0"/>
      <w:marBottom w:val="0"/>
      <w:divBdr>
        <w:top w:val="none" w:sz="0" w:space="0" w:color="auto"/>
        <w:left w:val="none" w:sz="0" w:space="0" w:color="auto"/>
        <w:bottom w:val="none" w:sz="0" w:space="0" w:color="auto"/>
        <w:right w:val="none" w:sz="0" w:space="0" w:color="auto"/>
      </w:divBdr>
    </w:div>
    <w:div w:id="1881046650">
      <w:marLeft w:val="630"/>
      <w:marRight w:val="0"/>
      <w:marTop w:val="0"/>
      <w:marBottom w:val="150"/>
      <w:divBdr>
        <w:top w:val="none" w:sz="0" w:space="0" w:color="auto"/>
        <w:left w:val="none" w:sz="0" w:space="0" w:color="auto"/>
        <w:bottom w:val="none" w:sz="0" w:space="0" w:color="auto"/>
        <w:right w:val="none" w:sz="0" w:space="0" w:color="auto"/>
      </w:divBdr>
    </w:div>
    <w:div w:id="1896504805">
      <w:marLeft w:val="630"/>
      <w:marRight w:val="0"/>
      <w:marTop w:val="0"/>
      <w:marBottom w:val="150"/>
      <w:divBdr>
        <w:top w:val="none" w:sz="0" w:space="0" w:color="auto"/>
        <w:left w:val="none" w:sz="0" w:space="0" w:color="auto"/>
        <w:bottom w:val="none" w:sz="0" w:space="0" w:color="auto"/>
        <w:right w:val="none" w:sz="0" w:space="0" w:color="auto"/>
      </w:divBdr>
    </w:div>
    <w:div w:id="1899513790">
      <w:marLeft w:val="0"/>
      <w:marRight w:val="0"/>
      <w:marTop w:val="0"/>
      <w:marBottom w:val="0"/>
      <w:divBdr>
        <w:top w:val="none" w:sz="0" w:space="0" w:color="auto"/>
        <w:left w:val="none" w:sz="0" w:space="0" w:color="auto"/>
        <w:bottom w:val="none" w:sz="0" w:space="0" w:color="auto"/>
        <w:right w:val="none" w:sz="0" w:space="0" w:color="auto"/>
      </w:divBdr>
    </w:div>
    <w:div w:id="1905489021">
      <w:marLeft w:val="0"/>
      <w:marRight w:val="0"/>
      <w:marTop w:val="0"/>
      <w:marBottom w:val="0"/>
      <w:divBdr>
        <w:top w:val="none" w:sz="0" w:space="0" w:color="auto"/>
        <w:left w:val="none" w:sz="0" w:space="0" w:color="auto"/>
        <w:bottom w:val="none" w:sz="0" w:space="0" w:color="auto"/>
        <w:right w:val="none" w:sz="0" w:space="0" w:color="auto"/>
      </w:divBdr>
    </w:div>
    <w:div w:id="1915704183">
      <w:marLeft w:val="630"/>
      <w:marRight w:val="0"/>
      <w:marTop w:val="0"/>
      <w:marBottom w:val="150"/>
      <w:divBdr>
        <w:top w:val="none" w:sz="0" w:space="0" w:color="auto"/>
        <w:left w:val="none" w:sz="0" w:space="0" w:color="auto"/>
        <w:bottom w:val="none" w:sz="0" w:space="0" w:color="auto"/>
        <w:right w:val="none" w:sz="0" w:space="0" w:color="auto"/>
      </w:divBdr>
    </w:div>
    <w:div w:id="1930850488">
      <w:marLeft w:val="0"/>
      <w:marRight w:val="0"/>
      <w:marTop w:val="0"/>
      <w:marBottom w:val="0"/>
      <w:divBdr>
        <w:top w:val="none" w:sz="0" w:space="0" w:color="auto"/>
        <w:left w:val="none" w:sz="0" w:space="0" w:color="auto"/>
        <w:bottom w:val="none" w:sz="0" w:space="0" w:color="auto"/>
        <w:right w:val="none" w:sz="0" w:space="0" w:color="auto"/>
      </w:divBdr>
    </w:div>
    <w:div w:id="1953899459">
      <w:marLeft w:val="0"/>
      <w:marRight w:val="0"/>
      <w:marTop w:val="0"/>
      <w:marBottom w:val="0"/>
      <w:divBdr>
        <w:top w:val="none" w:sz="0" w:space="0" w:color="auto"/>
        <w:left w:val="none" w:sz="0" w:space="0" w:color="auto"/>
        <w:bottom w:val="none" w:sz="0" w:space="0" w:color="auto"/>
        <w:right w:val="none" w:sz="0" w:space="0" w:color="auto"/>
      </w:divBdr>
    </w:div>
    <w:div w:id="1967271867">
      <w:marLeft w:val="0"/>
      <w:marRight w:val="0"/>
      <w:marTop w:val="0"/>
      <w:marBottom w:val="0"/>
      <w:divBdr>
        <w:top w:val="none" w:sz="0" w:space="0" w:color="auto"/>
        <w:left w:val="none" w:sz="0" w:space="0" w:color="auto"/>
        <w:bottom w:val="none" w:sz="0" w:space="0" w:color="auto"/>
        <w:right w:val="none" w:sz="0" w:space="0" w:color="auto"/>
      </w:divBdr>
    </w:div>
    <w:div w:id="1968851837">
      <w:marLeft w:val="630"/>
      <w:marRight w:val="0"/>
      <w:marTop w:val="0"/>
      <w:marBottom w:val="150"/>
      <w:divBdr>
        <w:top w:val="none" w:sz="0" w:space="0" w:color="auto"/>
        <w:left w:val="none" w:sz="0" w:space="0" w:color="auto"/>
        <w:bottom w:val="none" w:sz="0" w:space="0" w:color="auto"/>
        <w:right w:val="none" w:sz="0" w:space="0" w:color="auto"/>
      </w:divBdr>
    </w:div>
    <w:div w:id="1977100259">
      <w:marLeft w:val="630"/>
      <w:marRight w:val="0"/>
      <w:marTop w:val="0"/>
      <w:marBottom w:val="150"/>
      <w:divBdr>
        <w:top w:val="none" w:sz="0" w:space="0" w:color="auto"/>
        <w:left w:val="none" w:sz="0" w:space="0" w:color="auto"/>
        <w:bottom w:val="none" w:sz="0" w:space="0" w:color="auto"/>
        <w:right w:val="none" w:sz="0" w:space="0" w:color="auto"/>
      </w:divBdr>
    </w:div>
    <w:div w:id="1978800649">
      <w:marLeft w:val="0"/>
      <w:marRight w:val="0"/>
      <w:marTop w:val="0"/>
      <w:marBottom w:val="0"/>
      <w:divBdr>
        <w:top w:val="none" w:sz="0" w:space="0" w:color="auto"/>
        <w:left w:val="none" w:sz="0" w:space="0" w:color="auto"/>
        <w:bottom w:val="none" w:sz="0" w:space="0" w:color="auto"/>
        <w:right w:val="none" w:sz="0" w:space="0" w:color="auto"/>
      </w:divBdr>
    </w:div>
    <w:div w:id="2010517275">
      <w:marLeft w:val="630"/>
      <w:marRight w:val="0"/>
      <w:marTop w:val="0"/>
      <w:marBottom w:val="150"/>
      <w:divBdr>
        <w:top w:val="none" w:sz="0" w:space="0" w:color="auto"/>
        <w:left w:val="none" w:sz="0" w:space="0" w:color="auto"/>
        <w:bottom w:val="none" w:sz="0" w:space="0" w:color="auto"/>
        <w:right w:val="none" w:sz="0" w:space="0" w:color="auto"/>
      </w:divBdr>
    </w:div>
    <w:div w:id="2015112239">
      <w:marLeft w:val="0"/>
      <w:marRight w:val="0"/>
      <w:marTop w:val="0"/>
      <w:marBottom w:val="0"/>
      <w:divBdr>
        <w:top w:val="none" w:sz="0" w:space="0" w:color="auto"/>
        <w:left w:val="none" w:sz="0" w:space="0" w:color="auto"/>
        <w:bottom w:val="none" w:sz="0" w:space="0" w:color="auto"/>
        <w:right w:val="none" w:sz="0" w:space="0" w:color="auto"/>
      </w:divBdr>
    </w:div>
    <w:div w:id="2040085842">
      <w:marLeft w:val="0"/>
      <w:marRight w:val="0"/>
      <w:marTop w:val="0"/>
      <w:marBottom w:val="0"/>
      <w:divBdr>
        <w:top w:val="none" w:sz="0" w:space="0" w:color="auto"/>
        <w:left w:val="none" w:sz="0" w:space="0" w:color="auto"/>
        <w:bottom w:val="none" w:sz="0" w:space="0" w:color="auto"/>
        <w:right w:val="none" w:sz="0" w:space="0" w:color="auto"/>
      </w:divBdr>
    </w:div>
    <w:div w:id="2049720060">
      <w:marLeft w:val="540"/>
      <w:marRight w:val="0"/>
      <w:marTop w:val="0"/>
      <w:marBottom w:val="0"/>
      <w:divBdr>
        <w:top w:val="none" w:sz="0" w:space="0" w:color="auto"/>
        <w:left w:val="none" w:sz="0" w:space="0" w:color="auto"/>
        <w:bottom w:val="none" w:sz="0" w:space="0" w:color="auto"/>
        <w:right w:val="none" w:sz="0" w:space="0" w:color="auto"/>
      </w:divBdr>
    </w:div>
    <w:div w:id="2061975820">
      <w:marLeft w:val="0"/>
      <w:marRight w:val="0"/>
      <w:marTop w:val="0"/>
      <w:marBottom w:val="0"/>
      <w:divBdr>
        <w:top w:val="none" w:sz="0" w:space="0" w:color="auto"/>
        <w:left w:val="none" w:sz="0" w:space="0" w:color="auto"/>
        <w:bottom w:val="none" w:sz="0" w:space="0" w:color="auto"/>
        <w:right w:val="none" w:sz="0" w:space="0" w:color="auto"/>
      </w:divBdr>
    </w:div>
    <w:div w:id="2071734388">
      <w:marLeft w:val="540"/>
      <w:marRight w:val="0"/>
      <w:marTop w:val="0"/>
      <w:marBottom w:val="150"/>
      <w:divBdr>
        <w:top w:val="none" w:sz="0" w:space="0" w:color="auto"/>
        <w:left w:val="none" w:sz="0" w:space="0" w:color="auto"/>
        <w:bottom w:val="none" w:sz="0" w:space="0" w:color="auto"/>
        <w:right w:val="none" w:sz="0" w:space="0" w:color="auto"/>
      </w:divBdr>
    </w:div>
    <w:div w:id="2072538404">
      <w:marLeft w:val="0"/>
      <w:marRight w:val="0"/>
      <w:marTop w:val="0"/>
      <w:marBottom w:val="0"/>
      <w:divBdr>
        <w:top w:val="none" w:sz="0" w:space="0" w:color="auto"/>
        <w:left w:val="none" w:sz="0" w:space="0" w:color="auto"/>
        <w:bottom w:val="none" w:sz="0" w:space="0" w:color="auto"/>
        <w:right w:val="none" w:sz="0" w:space="0" w:color="auto"/>
      </w:divBdr>
    </w:div>
    <w:div w:id="2074765626">
      <w:marLeft w:val="0"/>
      <w:marRight w:val="0"/>
      <w:marTop w:val="0"/>
      <w:marBottom w:val="0"/>
      <w:divBdr>
        <w:top w:val="none" w:sz="0" w:space="0" w:color="auto"/>
        <w:left w:val="none" w:sz="0" w:space="0" w:color="auto"/>
        <w:bottom w:val="none" w:sz="0" w:space="0" w:color="auto"/>
        <w:right w:val="none" w:sz="0" w:space="0" w:color="auto"/>
      </w:divBdr>
    </w:div>
    <w:div w:id="2081902680">
      <w:marLeft w:val="0"/>
      <w:marRight w:val="0"/>
      <w:marTop w:val="0"/>
      <w:marBottom w:val="0"/>
      <w:divBdr>
        <w:top w:val="none" w:sz="0" w:space="0" w:color="auto"/>
        <w:left w:val="none" w:sz="0" w:space="0" w:color="auto"/>
        <w:bottom w:val="none" w:sz="0" w:space="0" w:color="auto"/>
        <w:right w:val="none" w:sz="0" w:space="0" w:color="auto"/>
      </w:divBdr>
    </w:div>
    <w:div w:id="2090223432">
      <w:marLeft w:val="0"/>
      <w:marRight w:val="0"/>
      <w:marTop w:val="0"/>
      <w:marBottom w:val="0"/>
      <w:divBdr>
        <w:top w:val="none" w:sz="0" w:space="0" w:color="auto"/>
        <w:left w:val="none" w:sz="0" w:space="0" w:color="auto"/>
        <w:bottom w:val="none" w:sz="0" w:space="0" w:color="auto"/>
        <w:right w:val="none" w:sz="0" w:space="0" w:color="auto"/>
      </w:divBdr>
    </w:div>
    <w:div w:id="2091728433">
      <w:marLeft w:val="630"/>
      <w:marRight w:val="0"/>
      <w:marTop w:val="0"/>
      <w:marBottom w:val="150"/>
      <w:divBdr>
        <w:top w:val="none" w:sz="0" w:space="0" w:color="auto"/>
        <w:left w:val="none" w:sz="0" w:space="0" w:color="auto"/>
        <w:bottom w:val="none" w:sz="0" w:space="0" w:color="auto"/>
        <w:right w:val="none" w:sz="0" w:space="0" w:color="auto"/>
      </w:divBdr>
    </w:div>
    <w:div w:id="2092776547">
      <w:marLeft w:val="0"/>
      <w:marRight w:val="0"/>
      <w:marTop w:val="0"/>
      <w:marBottom w:val="0"/>
      <w:divBdr>
        <w:top w:val="none" w:sz="0" w:space="0" w:color="auto"/>
        <w:left w:val="none" w:sz="0" w:space="0" w:color="auto"/>
        <w:bottom w:val="none" w:sz="0" w:space="0" w:color="auto"/>
        <w:right w:val="none" w:sz="0" w:space="0" w:color="auto"/>
      </w:divBdr>
    </w:div>
    <w:div w:id="2128040921">
      <w:marLeft w:val="630"/>
      <w:marRight w:val="0"/>
      <w:marTop w:val="0"/>
      <w:marBottom w:val="150"/>
      <w:divBdr>
        <w:top w:val="none" w:sz="0" w:space="0" w:color="auto"/>
        <w:left w:val="none" w:sz="0" w:space="0" w:color="auto"/>
        <w:bottom w:val="none" w:sz="0" w:space="0" w:color="auto"/>
        <w:right w:val="none" w:sz="0" w:space="0" w:color="auto"/>
      </w:divBdr>
    </w:div>
    <w:div w:id="2130855949">
      <w:marLeft w:val="630"/>
      <w:marRight w:val="0"/>
      <w:marTop w:val="0"/>
      <w:marBottom w:val="150"/>
      <w:divBdr>
        <w:top w:val="none" w:sz="0" w:space="0" w:color="auto"/>
        <w:left w:val="none" w:sz="0" w:space="0" w:color="auto"/>
        <w:bottom w:val="none" w:sz="0" w:space="0" w:color="auto"/>
        <w:right w:val="none" w:sz="0" w:space="0" w:color="auto"/>
      </w:divBdr>
    </w:div>
    <w:div w:id="2133396882">
      <w:marLeft w:val="0"/>
      <w:marRight w:val="0"/>
      <w:marTop w:val="0"/>
      <w:marBottom w:val="0"/>
      <w:divBdr>
        <w:top w:val="none" w:sz="0" w:space="0" w:color="auto"/>
        <w:left w:val="none" w:sz="0" w:space="0" w:color="auto"/>
        <w:bottom w:val="none" w:sz="0" w:space="0" w:color="auto"/>
        <w:right w:val="none" w:sz="0" w:space="0" w:color="auto"/>
      </w:divBdr>
    </w:div>
    <w:div w:id="2138179938">
      <w:marLeft w:val="540"/>
      <w:marRight w:val="0"/>
      <w:marTop w:val="0"/>
      <w:marBottom w:val="150"/>
      <w:divBdr>
        <w:top w:val="none" w:sz="0" w:space="0" w:color="auto"/>
        <w:left w:val="none" w:sz="0" w:space="0" w:color="auto"/>
        <w:bottom w:val="none" w:sz="0" w:space="0" w:color="auto"/>
        <w:right w:val="none" w:sz="0" w:space="0" w:color="auto"/>
      </w:divBdr>
    </w:div>
    <w:div w:id="2146581452">
      <w:marLeft w:val="63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FA9789D0D7E4381D3645ADF81E494" ma:contentTypeVersion="13" ma:contentTypeDescription="Create a new document." ma:contentTypeScope="" ma:versionID="b3c7ed4ca4194d69692a9bb6f9921865">
  <xsd:schema xmlns:xsd="http://www.w3.org/2001/XMLSchema" xmlns:xs="http://www.w3.org/2001/XMLSchema" xmlns:p="http://schemas.microsoft.com/office/2006/metadata/properties" xmlns:ns3="6a666b60-f205-4ff0-b534-e50a03b9aa71" xmlns:ns4="3e4597a7-d688-48b3-bc3c-658d32192c2b" targetNamespace="http://schemas.microsoft.com/office/2006/metadata/properties" ma:root="true" ma:fieldsID="3a705c59780c04344870b14a1489d830" ns3:_="" ns4:_="">
    <xsd:import namespace="6a666b60-f205-4ff0-b534-e50a03b9aa71"/>
    <xsd:import namespace="3e4597a7-d688-48b3-bc3c-658d32192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6b60-f205-4ff0-b534-e50a03b9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4597a7-d688-48b3-bc3c-658d32192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DD468-018F-452B-931E-EA36CF01FCE8}">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C00E08E-7A77-49EC-9F5F-50582AA60920}">
  <ds:schemaRefs>
    <ds:schemaRef ds:uri="http://schemas.microsoft.com/sharepoint/v3/contenttype/forms"/>
  </ds:schemaRefs>
</ds:datastoreItem>
</file>

<file path=customXml/itemProps3.xml><?xml version="1.0" encoding="utf-8"?>
<ds:datastoreItem xmlns:ds="http://schemas.openxmlformats.org/officeDocument/2006/customXml" ds:itemID="{4DD8FBF3-65FC-4EED-9869-F9C361B0AF46}">
  <ds:schemaRefs>
    <ds:schemaRef ds:uri="http://schemas.microsoft.com/office/2006/metadata/contentType"/>
    <ds:schemaRef ds:uri="http://schemas.microsoft.com/office/2006/metadata/properties/metaAttributes"/>
    <ds:schemaRef ds:uri="http://www.w3.org/2000/xmlns/"/>
    <ds:schemaRef ds:uri="http://www.w3.org/2001/XMLSchema"/>
    <ds:schemaRef ds:uri="6a666b60-f205-4ff0-b534-e50a03b9aa71"/>
    <ds:schemaRef ds:uri="3e4597a7-d688-48b3-bc3c-658d32192c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7814</Words>
  <Characters>42979</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Mory Dounoh</dc:creator>
  <cp:lastModifiedBy>Hamidou  Camara</cp:lastModifiedBy>
  <cp:revision>2</cp:revision>
  <cp:lastPrinted>2023-12-31T15:45:00Z</cp:lastPrinted>
  <dcterms:created xsi:type="dcterms:W3CDTF">2023-12-31T17:08:00Z</dcterms:created>
  <dcterms:modified xsi:type="dcterms:W3CDTF">2023-12-31T17:08:00Z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0x010100E52FA9789D0D7E4381D3645ADF81E494</vt:lpwstr>
  </property>
</Properties>
</file>